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EFA4" w14:textId="71D0E089" w:rsidR="000A53B4" w:rsidRDefault="000A53B4" w:rsidP="000A53B4">
      <w:pPr>
        <w:spacing w:after="0" w:line="240" w:lineRule="auto"/>
      </w:pPr>
      <w:r>
        <w:t xml:space="preserve">Draft Rule Changes for Composting </w:t>
      </w:r>
    </w:p>
    <w:p w14:paraId="44D92A9D" w14:textId="06B5DFF7" w:rsidR="000A53B4" w:rsidRDefault="000A53B4" w:rsidP="000A53B4">
      <w:pPr>
        <w:spacing w:after="0" w:line="240" w:lineRule="auto"/>
      </w:pPr>
      <w:r>
        <w:t xml:space="preserve">For Discussion Only  </w:t>
      </w:r>
    </w:p>
    <w:p w14:paraId="5A44ABAD" w14:textId="78C436EB" w:rsidR="000A53B4" w:rsidRDefault="000A53B4" w:rsidP="000A53B4">
      <w:pPr>
        <w:spacing w:after="0" w:line="240" w:lineRule="auto"/>
      </w:pPr>
      <w:r>
        <w:t xml:space="preserve">September </w:t>
      </w:r>
      <w:r w:rsidR="00AB140C">
        <w:t>7</w:t>
      </w:r>
      <w:r>
        <w:t>, 202</w:t>
      </w:r>
      <w:r w:rsidR="00AB140C">
        <w:t>3</w:t>
      </w:r>
      <w:r>
        <w:t>, SWMAC</w:t>
      </w:r>
    </w:p>
    <w:p w14:paraId="417BACA6" w14:textId="77777777" w:rsidR="000A53B4" w:rsidRDefault="000A53B4" w:rsidP="000A53B4">
      <w:pPr>
        <w:spacing w:after="0" w:line="240" w:lineRule="auto"/>
      </w:pPr>
    </w:p>
    <w:p w14:paraId="4A2DA3EF" w14:textId="77777777" w:rsidR="006D241A" w:rsidRPr="00BA6435" w:rsidRDefault="006D241A" w:rsidP="006D241A">
      <w:pPr>
        <w:rPr>
          <w:strike/>
        </w:rPr>
      </w:pPr>
      <w:r w:rsidRPr="00BA6435">
        <w:rPr>
          <w:strike/>
        </w:rPr>
        <w:t xml:space="preserve">252:515-43-31. Exempt </w:t>
      </w:r>
    </w:p>
    <w:p w14:paraId="53F6F119" w14:textId="77777777" w:rsidR="006D241A" w:rsidRPr="00BA6435" w:rsidRDefault="006D241A" w:rsidP="0068547E">
      <w:pPr>
        <w:jc w:val="both"/>
        <w:rPr>
          <w:strike/>
        </w:rPr>
      </w:pPr>
      <w:r w:rsidRPr="00BA6435">
        <w:rPr>
          <w:strike/>
        </w:rPr>
        <w:t xml:space="preserve">Non-commercial composting facilities that receive less than fifty (50) tons or one hundred (100) cubic yards of Type 1 and/or Type 2 feedstock per year, generated </w:t>
      </w:r>
      <w:r w:rsidRPr="00BA6435">
        <w:rPr>
          <w:b/>
          <w:bCs/>
          <w:strike/>
        </w:rPr>
        <w:t>on-site</w:t>
      </w:r>
      <w:r w:rsidRPr="00BA6435">
        <w:rPr>
          <w:strike/>
        </w:rPr>
        <w:t xml:space="preserve">, are considered exempt from the permitting and plan requirements of OAC 252:515-3-1, but may be subject to other DEQ permits or requirements. Examples of these types of facilities include, but are not limited to household or backyard composting, neighborhood composting, nurseries, greenhouses, and garden stores composting. </w:t>
      </w:r>
    </w:p>
    <w:p w14:paraId="7585D2ED" w14:textId="3C8BDEC4" w:rsidR="001648B4" w:rsidRPr="00FB7889" w:rsidRDefault="001648B4" w:rsidP="0068547E">
      <w:pPr>
        <w:jc w:val="both"/>
        <w:rPr>
          <w:b/>
          <w:bCs/>
          <w:u w:val="single"/>
        </w:rPr>
      </w:pPr>
      <w:r w:rsidRPr="00FB7889">
        <w:rPr>
          <w:b/>
          <w:bCs/>
          <w:u w:val="single"/>
        </w:rPr>
        <w:t>252:515-43-31.</w:t>
      </w:r>
      <w:r w:rsidR="00CB3813" w:rsidRPr="00FB7889">
        <w:rPr>
          <w:b/>
          <w:bCs/>
          <w:u w:val="single"/>
        </w:rPr>
        <w:t xml:space="preserve"> </w:t>
      </w:r>
      <w:r w:rsidR="00AB0BF9" w:rsidRPr="00FB7889">
        <w:rPr>
          <w:b/>
          <w:bCs/>
          <w:u w:val="single"/>
        </w:rPr>
        <w:t xml:space="preserve">Small-scale </w:t>
      </w:r>
      <w:r w:rsidR="00CB3813" w:rsidRPr="00FB7889">
        <w:rPr>
          <w:b/>
          <w:bCs/>
          <w:u w:val="single"/>
        </w:rPr>
        <w:t>Permit</w:t>
      </w:r>
      <w:r w:rsidRPr="00FB7889">
        <w:rPr>
          <w:b/>
          <w:bCs/>
          <w:u w:val="single"/>
        </w:rPr>
        <w:t xml:space="preserve"> Exempt</w:t>
      </w:r>
      <w:r w:rsidR="00CB3813" w:rsidRPr="00FB7889">
        <w:rPr>
          <w:b/>
          <w:bCs/>
          <w:u w:val="single"/>
        </w:rPr>
        <w:t>ions</w:t>
      </w:r>
      <w:r w:rsidRPr="00FB7889">
        <w:rPr>
          <w:b/>
          <w:bCs/>
          <w:u w:val="single"/>
        </w:rPr>
        <w:t xml:space="preserve"> </w:t>
      </w:r>
    </w:p>
    <w:p w14:paraId="29F9C28A" w14:textId="6A3F6003" w:rsidR="001648B4" w:rsidRPr="005E38C7" w:rsidRDefault="001648B4" w:rsidP="0068547E">
      <w:pPr>
        <w:jc w:val="both"/>
        <w:rPr>
          <w:u w:val="single"/>
        </w:rPr>
      </w:pPr>
      <w:r w:rsidRPr="5760E21D">
        <w:rPr>
          <w:b/>
          <w:bCs/>
          <w:u w:val="single"/>
        </w:rPr>
        <w:t xml:space="preserve">(a) </w:t>
      </w:r>
      <w:r w:rsidR="00962839">
        <w:rPr>
          <w:b/>
          <w:bCs/>
          <w:u w:val="single"/>
        </w:rPr>
        <w:t xml:space="preserve">Feedstock generated </w:t>
      </w:r>
      <w:r w:rsidRPr="5760E21D">
        <w:rPr>
          <w:b/>
          <w:bCs/>
          <w:u w:val="single"/>
        </w:rPr>
        <w:t>On-site</w:t>
      </w:r>
      <w:r w:rsidR="00962839">
        <w:rPr>
          <w:b/>
          <w:bCs/>
          <w:u w:val="single"/>
        </w:rPr>
        <w:t>.</w:t>
      </w:r>
      <w:r w:rsidRPr="5760E21D">
        <w:rPr>
          <w:b/>
          <w:bCs/>
          <w:u w:val="single"/>
        </w:rPr>
        <w:t xml:space="preserve"> </w:t>
      </w:r>
      <w:r w:rsidRPr="5760E21D">
        <w:rPr>
          <w:u w:val="single"/>
        </w:rPr>
        <w:t xml:space="preserve">Non-commercial composting </w:t>
      </w:r>
      <w:r w:rsidR="00026E8E" w:rsidRPr="5760E21D">
        <w:rPr>
          <w:u w:val="single"/>
        </w:rPr>
        <w:t xml:space="preserve">facilities </w:t>
      </w:r>
      <w:r w:rsidRPr="5760E21D">
        <w:rPr>
          <w:u w:val="single"/>
        </w:rPr>
        <w:t xml:space="preserve">that receive less than fifty (50) tons or one hundred (100) cubic yards of Type 1 and/or Type 2 feedstock per year, generated on-site, are considered exempt from the permitting requirements of OAC 252:515-3-1, </w:t>
      </w:r>
      <w:bookmarkStart w:id="0" w:name="_Hlk112426988"/>
      <w:r w:rsidRPr="5760E21D">
        <w:rPr>
          <w:u w:val="single"/>
        </w:rPr>
        <w:t xml:space="preserve">Examples of these types of facilities include, but are not limited to </w:t>
      </w:r>
      <w:bookmarkEnd w:id="0"/>
      <w:r w:rsidRPr="5760E21D">
        <w:rPr>
          <w:u w:val="single"/>
        </w:rPr>
        <w:t xml:space="preserve">household or backyard composting, nurseries, greenhouses, and garden stores composting. </w:t>
      </w:r>
    </w:p>
    <w:p w14:paraId="05AFB5FD" w14:textId="785F622B" w:rsidR="008A0B10" w:rsidRDefault="001648B4" w:rsidP="000D37FA">
      <w:pPr>
        <w:jc w:val="both"/>
        <w:rPr>
          <w:u w:val="single"/>
        </w:rPr>
      </w:pPr>
      <w:r w:rsidRPr="19920F3C">
        <w:rPr>
          <w:b/>
          <w:bCs/>
          <w:u w:val="single"/>
        </w:rPr>
        <w:t xml:space="preserve">(b) </w:t>
      </w:r>
      <w:r w:rsidR="00CB3813" w:rsidRPr="19920F3C">
        <w:rPr>
          <w:u w:val="single"/>
        </w:rPr>
        <w:t xml:space="preserve"> </w:t>
      </w:r>
      <w:r w:rsidR="00962839" w:rsidRPr="00962839">
        <w:rPr>
          <w:b/>
          <w:bCs/>
          <w:u w:val="single"/>
        </w:rPr>
        <w:t>Feedstock generated</w:t>
      </w:r>
      <w:r w:rsidR="00962839">
        <w:rPr>
          <w:u w:val="single"/>
        </w:rPr>
        <w:t xml:space="preserve"> </w:t>
      </w:r>
      <w:r w:rsidRPr="19920F3C">
        <w:rPr>
          <w:b/>
          <w:bCs/>
          <w:u w:val="single"/>
        </w:rPr>
        <w:t>Off-site</w:t>
      </w:r>
      <w:r w:rsidR="00CB3813" w:rsidRPr="19920F3C">
        <w:rPr>
          <w:u w:val="single"/>
        </w:rPr>
        <w:t xml:space="preserve"> </w:t>
      </w:r>
      <w:r w:rsidR="003473B2">
        <w:rPr>
          <w:u w:val="single"/>
        </w:rPr>
        <w:t>N</w:t>
      </w:r>
      <w:r w:rsidR="00F75088" w:rsidRPr="19920F3C">
        <w:rPr>
          <w:u w:val="single"/>
        </w:rPr>
        <w:t xml:space="preserve">on-commercial </w:t>
      </w:r>
      <w:r w:rsidR="00F3733C" w:rsidRPr="19920F3C">
        <w:rPr>
          <w:u w:val="single"/>
        </w:rPr>
        <w:t xml:space="preserve">composting </w:t>
      </w:r>
      <w:r w:rsidR="008B6B52" w:rsidRPr="19920F3C">
        <w:rPr>
          <w:u w:val="single"/>
        </w:rPr>
        <w:t xml:space="preserve">facilities that receive </w:t>
      </w:r>
      <w:r w:rsidR="008A0B10">
        <w:rPr>
          <w:u w:val="single"/>
        </w:rPr>
        <w:t xml:space="preserve">up to </w:t>
      </w:r>
      <w:r w:rsidR="00BB2C56" w:rsidRPr="00BB2C56">
        <w:rPr>
          <w:u w:val="single"/>
        </w:rPr>
        <w:t xml:space="preserve">one hundred (100) tons or two hundred (200) cubic yards of Type 1 and/or Type 2 feedstock per year, </w:t>
      </w:r>
      <w:r w:rsidR="4025599D" w:rsidRPr="19920F3C">
        <w:rPr>
          <w:u w:val="single"/>
        </w:rPr>
        <w:t xml:space="preserve">any </w:t>
      </w:r>
      <w:r w:rsidR="00BB2C56">
        <w:rPr>
          <w:u w:val="single"/>
        </w:rPr>
        <w:t xml:space="preserve">amount </w:t>
      </w:r>
      <w:r w:rsidR="4025599D" w:rsidRPr="19920F3C">
        <w:rPr>
          <w:u w:val="single"/>
        </w:rPr>
        <w:t xml:space="preserve">of which is </w:t>
      </w:r>
      <w:r w:rsidR="00AB0BF9" w:rsidRPr="19920F3C">
        <w:rPr>
          <w:u w:val="single"/>
        </w:rPr>
        <w:t>generated off-site</w:t>
      </w:r>
      <w:r w:rsidR="00075038" w:rsidRPr="19920F3C">
        <w:rPr>
          <w:u w:val="single"/>
        </w:rPr>
        <w:t>,</w:t>
      </w:r>
      <w:r w:rsidR="000302C4" w:rsidRPr="19920F3C">
        <w:rPr>
          <w:u w:val="single"/>
        </w:rPr>
        <w:t xml:space="preserve"> </w:t>
      </w:r>
      <w:r w:rsidR="003473B2">
        <w:rPr>
          <w:u w:val="single"/>
        </w:rPr>
        <w:t>may</w:t>
      </w:r>
      <w:r w:rsidR="000302C4" w:rsidRPr="19920F3C">
        <w:rPr>
          <w:u w:val="single"/>
        </w:rPr>
        <w:t xml:space="preserve"> submit a request to DEQ </w:t>
      </w:r>
      <w:r w:rsidR="00962839">
        <w:rPr>
          <w:u w:val="single"/>
        </w:rPr>
        <w:t xml:space="preserve">for review and approval before being </w:t>
      </w:r>
      <w:r w:rsidR="008A0B10" w:rsidRPr="008A0B10">
        <w:rPr>
          <w:u w:val="single"/>
        </w:rPr>
        <w:t>considered exempt from the permitting requirements of OAC 252:515-3-1.</w:t>
      </w:r>
      <w:r w:rsidR="000302C4" w:rsidRPr="19920F3C">
        <w:rPr>
          <w:u w:val="single"/>
        </w:rPr>
        <w:t xml:space="preserve"> </w:t>
      </w:r>
    </w:p>
    <w:p w14:paraId="321B78B1" w14:textId="56DBAB69" w:rsidR="008A0B10" w:rsidRDefault="00962839" w:rsidP="000D37FA">
      <w:pPr>
        <w:jc w:val="both"/>
        <w:rPr>
          <w:u w:val="single"/>
        </w:rPr>
      </w:pPr>
      <w:r>
        <w:rPr>
          <w:u w:val="single"/>
        </w:rPr>
        <w:t>(1</w:t>
      </w:r>
      <w:r w:rsidR="008A0B10">
        <w:rPr>
          <w:u w:val="single"/>
        </w:rPr>
        <w:t xml:space="preserve">) </w:t>
      </w:r>
      <w:r>
        <w:rPr>
          <w:u w:val="single"/>
        </w:rPr>
        <w:t xml:space="preserve">the exemption request must include </w:t>
      </w:r>
      <w:r w:rsidR="008A0B10">
        <w:rPr>
          <w:u w:val="single"/>
        </w:rPr>
        <w:t>a</w:t>
      </w:r>
      <w:r w:rsidR="00BB2C56" w:rsidRPr="00BB2C56">
        <w:rPr>
          <w:u w:val="single"/>
        </w:rPr>
        <w:t xml:space="preserve"> basic operational </w:t>
      </w:r>
      <w:r>
        <w:rPr>
          <w:u w:val="single"/>
        </w:rPr>
        <w:t xml:space="preserve">plan which </w:t>
      </w:r>
      <w:r w:rsidR="00BB2C56" w:rsidRPr="00BB2C56">
        <w:rPr>
          <w:u w:val="single"/>
        </w:rPr>
        <w:t>include</w:t>
      </w:r>
      <w:r>
        <w:rPr>
          <w:u w:val="single"/>
        </w:rPr>
        <w:t>s</w:t>
      </w:r>
      <w:r w:rsidR="00BB2C56" w:rsidRPr="00BB2C56">
        <w:rPr>
          <w:u w:val="single"/>
        </w:rPr>
        <w:t xml:space="preserve"> controls for nuisance odors, vectors, contact water, and </w:t>
      </w:r>
      <w:proofErr w:type="gramStart"/>
      <w:r w:rsidR="00BB2C56" w:rsidRPr="00BB2C56">
        <w:rPr>
          <w:u w:val="single"/>
        </w:rPr>
        <w:t>run-off</w:t>
      </w:r>
      <w:r>
        <w:rPr>
          <w:u w:val="single"/>
        </w:rPr>
        <w:t>;</w:t>
      </w:r>
      <w:proofErr w:type="gramEnd"/>
      <w:r w:rsidR="00BB2C56" w:rsidRPr="00BB2C56">
        <w:rPr>
          <w:u w:val="single"/>
        </w:rPr>
        <w:t xml:space="preserve">   </w:t>
      </w:r>
    </w:p>
    <w:p w14:paraId="15167C63" w14:textId="3D7E9ED5" w:rsidR="00962839" w:rsidRDefault="00962839" w:rsidP="000D37FA">
      <w:pPr>
        <w:jc w:val="both"/>
        <w:rPr>
          <w:u w:val="single"/>
        </w:rPr>
      </w:pPr>
      <w:r>
        <w:rPr>
          <w:u w:val="single"/>
        </w:rPr>
        <w:t>(2) facilities must maintain a</w:t>
      </w:r>
      <w:r w:rsidR="00BB2C56" w:rsidRPr="00BB2C56">
        <w:rPr>
          <w:u w:val="single"/>
        </w:rPr>
        <w:t xml:space="preserve"> daily log of the feedstock types and </w:t>
      </w:r>
      <w:proofErr w:type="gramStart"/>
      <w:r w:rsidR="00BB2C56" w:rsidRPr="00BB2C56">
        <w:rPr>
          <w:u w:val="single"/>
        </w:rPr>
        <w:t>weight</w:t>
      </w:r>
      <w:proofErr w:type="gramEnd"/>
      <w:r w:rsidR="00BB2C56" w:rsidRPr="00BB2C56">
        <w:rPr>
          <w:u w:val="single"/>
        </w:rPr>
        <w:t xml:space="preserve"> or volume utilized from both on-site and off-site generators</w:t>
      </w:r>
      <w:r>
        <w:rPr>
          <w:u w:val="single"/>
        </w:rPr>
        <w:t>;</w:t>
      </w:r>
    </w:p>
    <w:p w14:paraId="639ADE44" w14:textId="4878B865" w:rsidR="0080677D" w:rsidRDefault="00962839" w:rsidP="000D37FA">
      <w:pPr>
        <w:jc w:val="both"/>
        <w:rPr>
          <w:u w:val="single"/>
        </w:rPr>
      </w:pPr>
      <w:r>
        <w:rPr>
          <w:u w:val="single"/>
        </w:rPr>
        <w:t xml:space="preserve">(3) </w:t>
      </w:r>
      <w:r w:rsidR="001A4D58" w:rsidRPr="19920F3C">
        <w:rPr>
          <w:u w:val="single"/>
        </w:rPr>
        <w:t xml:space="preserve"> </w:t>
      </w:r>
      <w:r w:rsidR="0080677D">
        <w:rPr>
          <w:u w:val="single"/>
        </w:rPr>
        <w:t>after the first year, and annually thereafter, facilities</w:t>
      </w:r>
      <w:r>
        <w:rPr>
          <w:u w:val="single"/>
        </w:rPr>
        <w:t xml:space="preserve"> must </w:t>
      </w:r>
      <w:r w:rsidR="0080677D">
        <w:rPr>
          <w:u w:val="single"/>
        </w:rPr>
        <w:t xml:space="preserve">submit to DEQ </w:t>
      </w:r>
      <w:r>
        <w:rPr>
          <w:u w:val="single"/>
        </w:rPr>
        <w:t xml:space="preserve">a request to continue their </w:t>
      </w:r>
      <w:r w:rsidR="0080677D">
        <w:rPr>
          <w:u w:val="single"/>
        </w:rPr>
        <w:t xml:space="preserve">exemption. </w:t>
      </w:r>
    </w:p>
    <w:p w14:paraId="5E961C01" w14:textId="77B69E5F" w:rsidR="000B59CF" w:rsidRPr="00FB7889" w:rsidRDefault="005E3879" w:rsidP="008B6B52">
      <w:pPr>
        <w:jc w:val="both"/>
        <w:rPr>
          <w:color w:val="000000"/>
          <w:u w:val="single"/>
        </w:rPr>
      </w:pPr>
      <w:r w:rsidRPr="00962839">
        <w:rPr>
          <w:b/>
          <w:bCs/>
          <w:color w:val="000000" w:themeColor="text1"/>
          <w:u w:val="single"/>
        </w:rPr>
        <w:t>(</w:t>
      </w:r>
      <w:r w:rsidR="00962839" w:rsidRPr="00962839">
        <w:rPr>
          <w:b/>
          <w:bCs/>
          <w:color w:val="000000" w:themeColor="text1"/>
          <w:u w:val="single"/>
        </w:rPr>
        <w:t>c</w:t>
      </w:r>
      <w:r w:rsidRPr="00962839">
        <w:rPr>
          <w:b/>
          <w:bCs/>
          <w:color w:val="000000" w:themeColor="text1"/>
          <w:u w:val="single"/>
        </w:rPr>
        <w:t>)</w:t>
      </w:r>
      <w:r w:rsidRPr="00FB7889">
        <w:rPr>
          <w:color w:val="000000" w:themeColor="text1"/>
          <w:u w:val="single"/>
        </w:rPr>
        <w:t xml:space="preserve"> </w:t>
      </w:r>
      <w:r w:rsidR="00962839" w:rsidRPr="00962839">
        <w:rPr>
          <w:rFonts w:cstheme="minorHAnsi"/>
          <w:b/>
          <w:bCs/>
          <w:color w:val="000000" w:themeColor="text1"/>
          <w:u w:val="single"/>
        </w:rPr>
        <w:t>Other requirements.</w:t>
      </w:r>
      <w:r w:rsidR="00962839">
        <w:rPr>
          <w:rFonts w:cstheme="minorHAnsi"/>
          <w:color w:val="000000" w:themeColor="text1"/>
          <w:u w:val="single"/>
        </w:rPr>
        <w:t xml:space="preserve"> </w:t>
      </w:r>
      <w:r w:rsidRPr="00FB7889">
        <w:rPr>
          <w:rFonts w:cstheme="minorHAnsi"/>
          <w:color w:val="000000" w:themeColor="text1"/>
          <w:u w:val="single"/>
        </w:rPr>
        <w:t>T</w:t>
      </w:r>
      <w:r w:rsidRPr="00FB7889">
        <w:rPr>
          <w:rStyle w:val="cf01"/>
          <w:rFonts w:asciiTheme="minorHAnsi" w:hAnsiTheme="minorHAnsi" w:cstheme="minorHAnsi"/>
          <w:i w:val="0"/>
          <w:sz w:val="22"/>
          <w:szCs w:val="22"/>
          <w:u w:val="single"/>
        </w:rPr>
        <w:t>hose facilities determined to be exempt from permitting requirements of OAC 252:515-3-1 may still be subject to other DEQ permits or requirements.</w:t>
      </w:r>
    </w:p>
    <w:p w14:paraId="1E0B98FA" w14:textId="77777777" w:rsidR="00EB11C3" w:rsidRPr="00EB11C3" w:rsidRDefault="00EB11C3" w:rsidP="00E11CF8"/>
    <w:sectPr w:rsidR="00EB11C3" w:rsidRPr="00EB1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BE6F" w14:textId="77777777" w:rsidR="002431F3" w:rsidRDefault="002431F3" w:rsidP="003969E8">
      <w:pPr>
        <w:spacing w:after="0" w:line="240" w:lineRule="auto"/>
      </w:pPr>
      <w:r>
        <w:separator/>
      </w:r>
    </w:p>
  </w:endnote>
  <w:endnote w:type="continuationSeparator" w:id="0">
    <w:p w14:paraId="1EAA37F3" w14:textId="77777777" w:rsidR="002431F3" w:rsidRDefault="002431F3" w:rsidP="003969E8">
      <w:pPr>
        <w:spacing w:after="0" w:line="240" w:lineRule="auto"/>
      </w:pPr>
      <w:r>
        <w:continuationSeparator/>
      </w:r>
    </w:p>
  </w:endnote>
  <w:endnote w:type="continuationNotice" w:id="1">
    <w:p w14:paraId="116F292C" w14:textId="77777777" w:rsidR="002431F3" w:rsidRDefault="00243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8EE6" w14:textId="77777777" w:rsidR="003969E8" w:rsidRDefault="0039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FE1" w14:textId="77777777" w:rsidR="003969E8" w:rsidRDefault="00396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4DE2" w14:textId="77777777" w:rsidR="003969E8" w:rsidRDefault="0039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1181" w14:textId="77777777" w:rsidR="002431F3" w:rsidRDefault="002431F3" w:rsidP="003969E8">
      <w:pPr>
        <w:spacing w:after="0" w:line="240" w:lineRule="auto"/>
      </w:pPr>
      <w:r>
        <w:separator/>
      </w:r>
    </w:p>
  </w:footnote>
  <w:footnote w:type="continuationSeparator" w:id="0">
    <w:p w14:paraId="46FA398C" w14:textId="77777777" w:rsidR="002431F3" w:rsidRDefault="002431F3" w:rsidP="003969E8">
      <w:pPr>
        <w:spacing w:after="0" w:line="240" w:lineRule="auto"/>
      </w:pPr>
      <w:r>
        <w:continuationSeparator/>
      </w:r>
    </w:p>
  </w:footnote>
  <w:footnote w:type="continuationNotice" w:id="1">
    <w:p w14:paraId="7A08031A" w14:textId="77777777" w:rsidR="002431F3" w:rsidRDefault="00243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8B80" w14:textId="77777777" w:rsidR="003969E8" w:rsidRDefault="00396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8688"/>
      <w:docPartObj>
        <w:docPartGallery w:val="Watermarks"/>
        <w:docPartUnique/>
      </w:docPartObj>
    </w:sdtPr>
    <w:sdtEndPr/>
    <w:sdtContent>
      <w:p w14:paraId="0408ED94" w14:textId="735E2EAD" w:rsidR="003969E8" w:rsidRDefault="00B6575A">
        <w:pPr>
          <w:pStyle w:val="Header"/>
        </w:pPr>
        <w:r>
          <w:rPr>
            <w:noProof/>
          </w:rPr>
          <w:pict w14:anchorId="312AE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67C3" w14:textId="77777777" w:rsidR="003969E8" w:rsidRDefault="00396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1A"/>
    <w:rsid w:val="0002028E"/>
    <w:rsid w:val="00026E8E"/>
    <w:rsid w:val="000302C4"/>
    <w:rsid w:val="00041010"/>
    <w:rsid w:val="00075038"/>
    <w:rsid w:val="000A53B4"/>
    <w:rsid w:val="000B59CF"/>
    <w:rsid w:val="000B7AC0"/>
    <w:rsid w:val="000D238B"/>
    <w:rsid w:val="000D37FA"/>
    <w:rsid w:val="000E28DF"/>
    <w:rsid w:val="000E469F"/>
    <w:rsid w:val="00117579"/>
    <w:rsid w:val="0012327C"/>
    <w:rsid w:val="00123C6E"/>
    <w:rsid w:val="00143F86"/>
    <w:rsid w:val="001648B4"/>
    <w:rsid w:val="001747B4"/>
    <w:rsid w:val="001A2C0D"/>
    <w:rsid w:val="001A4D58"/>
    <w:rsid w:val="001A74D7"/>
    <w:rsid w:val="001D3D89"/>
    <w:rsid w:val="00216181"/>
    <w:rsid w:val="002431F3"/>
    <w:rsid w:val="002D7EF2"/>
    <w:rsid w:val="002F13D0"/>
    <w:rsid w:val="00324756"/>
    <w:rsid w:val="003473B2"/>
    <w:rsid w:val="00357C97"/>
    <w:rsid w:val="0039427E"/>
    <w:rsid w:val="003969E8"/>
    <w:rsid w:val="00467671"/>
    <w:rsid w:val="00482636"/>
    <w:rsid w:val="00487683"/>
    <w:rsid w:val="004B717E"/>
    <w:rsid w:val="004B7871"/>
    <w:rsid w:val="004E1407"/>
    <w:rsid w:val="004F3651"/>
    <w:rsid w:val="005132F4"/>
    <w:rsid w:val="00541D14"/>
    <w:rsid w:val="00542083"/>
    <w:rsid w:val="00546C7F"/>
    <w:rsid w:val="0056138C"/>
    <w:rsid w:val="00580025"/>
    <w:rsid w:val="005E3879"/>
    <w:rsid w:val="005E38C7"/>
    <w:rsid w:val="00643FAB"/>
    <w:rsid w:val="00664E4E"/>
    <w:rsid w:val="00673190"/>
    <w:rsid w:val="00683AE6"/>
    <w:rsid w:val="0068547E"/>
    <w:rsid w:val="006D1A89"/>
    <w:rsid w:val="006D241A"/>
    <w:rsid w:val="006F34FD"/>
    <w:rsid w:val="0070541F"/>
    <w:rsid w:val="00717D9D"/>
    <w:rsid w:val="007379CB"/>
    <w:rsid w:val="00751528"/>
    <w:rsid w:val="00783CF6"/>
    <w:rsid w:val="007A1E56"/>
    <w:rsid w:val="007F2E63"/>
    <w:rsid w:val="008041E5"/>
    <w:rsid w:val="0080677D"/>
    <w:rsid w:val="00823B97"/>
    <w:rsid w:val="008517F0"/>
    <w:rsid w:val="00854972"/>
    <w:rsid w:val="00875BC2"/>
    <w:rsid w:val="00893D56"/>
    <w:rsid w:val="008A0B10"/>
    <w:rsid w:val="008B6B52"/>
    <w:rsid w:val="008C709F"/>
    <w:rsid w:val="008F770F"/>
    <w:rsid w:val="00913DDB"/>
    <w:rsid w:val="00945C08"/>
    <w:rsid w:val="00962839"/>
    <w:rsid w:val="00975E13"/>
    <w:rsid w:val="009E4653"/>
    <w:rsid w:val="00AB03F1"/>
    <w:rsid w:val="00AB0BF9"/>
    <w:rsid w:val="00AB140C"/>
    <w:rsid w:val="00B40B18"/>
    <w:rsid w:val="00B434C2"/>
    <w:rsid w:val="00B6575A"/>
    <w:rsid w:val="00B72119"/>
    <w:rsid w:val="00B804C0"/>
    <w:rsid w:val="00BA1FB6"/>
    <w:rsid w:val="00BA6435"/>
    <w:rsid w:val="00BB2C56"/>
    <w:rsid w:val="00BC63C9"/>
    <w:rsid w:val="00C26322"/>
    <w:rsid w:val="00C27DFE"/>
    <w:rsid w:val="00C50A01"/>
    <w:rsid w:val="00C6140C"/>
    <w:rsid w:val="00CB3813"/>
    <w:rsid w:val="00CC15BD"/>
    <w:rsid w:val="00CD1A10"/>
    <w:rsid w:val="00D64864"/>
    <w:rsid w:val="00D85AB4"/>
    <w:rsid w:val="00D922F3"/>
    <w:rsid w:val="00E11CF8"/>
    <w:rsid w:val="00E416E0"/>
    <w:rsid w:val="00EB11C3"/>
    <w:rsid w:val="00EE155F"/>
    <w:rsid w:val="00F0108A"/>
    <w:rsid w:val="00F15045"/>
    <w:rsid w:val="00F3733C"/>
    <w:rsid w:val="00F75088"/>
    <w:rsid w:val="00FB2DD8"/>
    <w:rsid w:val="00FB7889"/>
    <w:rsid w:val="00FE5BA2"/>
    <w:rsid w:val="0D7402BD"/>
    <w:rsid w:val="10033EDD"/>
    <w:rsid w:val="1539E35E"/>
    <w:rsid w:val="19920F3C"/>
    <w:rsid w:val="1AC99A2E"/>
    <w:rsid w:val="2211A8CB"/>
    <w:rsid w:val="27C7A10F"/>
    <w:rsid w:val="4025599D"/>
    <w:rsid w:val="415CD214"/>
    <w:rsid w:val="43E20786"/>
    <w:rsid w:val="515B394E"/>
    <w:rsid w:val="564E9069"/>
    <w:rsid w:val="5760E21D"/>
    <w:rsid w:val="595F2072"/>
    <w:rsid w:val="5CABC2C1"/>
    <w:rsid w:val="63FA5D23"/>
    <w:rsid w:val="650C39CF"/>
    <w:rsid w:val="6B7AF136"/>
    <w:rsid w:val="7782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8CC9"/>
  <w15:chartTrackingRefBased/>
  <w15:docId w15:val="{06D38437-F013-478E-83E7-5DBACB93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E8"/>
  </w:style>
  <w:style w:type="paragraph" w:styleId="Footer">
    <w:name w:val="footer"/>
    <w:basedOn w:val="Normal"/>
    <w:link w:val="FooterChar"/>
    <w:uiPriority w:val="99"/>
    <w:unhideWhenUsed/>
    <w:rsid w:val="0039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E8"/>
  </w:style>
  <w:style w:type="paragraph" w:styleId="Revision">
    <w:name w:val="Revision"/>
    <w:hidden/>
    <w:uiPriority w:val="99"/>
    <w:semiHidden/>
    <w:rsid w:val="000D37FA"/>
    <w:pPr>
      <w:spacing w:after="0" w:line="240" w:lineRule="auto"/>
    </w:pPr>
  </w:style>
  <w:style w:type="character" w:customStyle="1" w:styleId="contentpasted0">
    <w:name w:val="contentpasted0"/>
    <w:basedOn w:val="DefaultParagraphFont"/>
    <w:rsid w:val="008B6B52"/>
  </w:style>
  <w:style w:type="character" w:styleId="CommentReference">
    <w:name w:val="annotation reference"/>
    <w:basedOn w:val="DefaultParagraphFont"/>
    <w:uiPriority w:val="99"/>
    <w:semiHidden/>
    <w:unhideWhenUsed/>
    <w:rsid w:val="00075038"/>
    <w:rPr>
      <w:sz w:val="16"/>
      <w:szCs w:val="16"/>
    </w:rPr>
  </w:style>
  <w:style w:type="paragraph" w:styleId="CommentText">
    <w:name w:val="annotation text"/>
    <w:basedOn w:val="Normal"/>
    <w:link w:val="CommentTextChar"/>
    <w:uiPriority w:val="99"/>
    <w:unhideWhenUsed/>
    <w:rsid w:val="00075038"/>
    <w:pPr>
      <w:spacing w:line="240" w:lineRule="auto"/>
    </w:pPr>
    <w:rPr>
      <w:sz w:val="20"/>
      <w:szCs w:val="20"/>
    </w:rPr>
  </w:style>
  <w:style w:type="character" w:customStyle="1" w:styleId="CommentTextChar">
    <w:name w:val="Comment Text Char"/>
    <w:basedOn w:val="DefaultParagraphFont"/>
    <w:link w:val="CommentText"/>
    <w:uiPriority w:val="99"/>
    <w:rsid w:val="00075038"/>
    <w:rPr>
      <w:sz w:val="20"/>
      <w:szCs w:val="20"/>
    </w:rPr>
  </w:style>
  <w:style w:type="paragraph" w:styleId="CommentSubject">
    <w:name w:val="annotation subject"/>
    <w:basedOn w:val="CommentText"/>
    <w:next w:val="CommentText"/>
    <w:link w:val="CommentSubjectChar"/>
    <w:uiPriority w:val="99"/>
    <w:semiHidden/>
    <w:unhideWhenUsed/>
    <w:rsid w:val="00075038"/>
    <w:rPr>
      <w:b/>
      <w:bCs/>
    </w:rPr>
  </w:style>
  <w:style w:type="character" w:customStyle="1" w:styleId="CommentSubjectChar">
    <w:name w:val="Comment Subject Char"/>
    <w:basedOn w:val="CommentTextChar"/>
    <w:link w:val="CommentSubject"/>
    <w:uiPriority w:val="99"/>
    <w:semiHidden/>
    <w:rsid w:val="00075038"/>
    <w:rPr>
      <w:b/>
      <w:bCs/>
      <w:sz w:val="20"/>
      <w:szCs w:val="20"/>
    </w:rPr>
  </w:style>
  <w:style w:type="character" w:customStyle="1" w:styleId="cf01">
    <w:name w:val="cf01"/>
    <w:basedOn w:val="DefaultParagraphFont"/>
    <w:rsid w:val="005E387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5660">
      <w:bodyDiv w:val="1"/>
      <w:marLeft w:val="0"/>
      <w:marRight w:val="0"/>
      <w:marTop w:val="0"/>
      <w:marBottom w:val="0"/>
      <w:divBdr>
        <w:top w:val="none" w:sz="0" w:space="0" w:color="auto"/>
        <w:left w:val="none" w:sz="0" w:space="0" w:color="auto"/>
        <w:bottom w:val="none" w:sz="0" w:space="0" w:color="auto"/>
        <w:right w:val="none" w:sz="0" w:space="0" w:color="auto"/>
      </w:divBdr>
    </w:div>
    <w:div w:id="650984704">
      <w:bodyDiv w:val="1"/>
      <w:marLeft w:val="0"/>
      <w:marRight w:val="0"/>
      <w:marTop w:val="0"/>
      <w:marBottom w:val="0"/>
      <w:divBdr>
        <w:top w:val="none" w:sz="0" w:space="0" w:color="auto"/>
        <w:left w:val="none" w:sz="0" w:space="0" w:color="auto"/>
        <w:bottom w:val="none" w:sz="0" w:space="0" w:color="auto"/>
        <w:right w:val="none" w:sz="0" w:space="0" w:color="auto"/>
      </w:divBdr>
    </w:div>
    <w:div w:id="1428386224">
      <w:bodyDiv w:val="1"/>
      <w:marLeft w:val="0"/>
      <w:marRight w:val="0"/>
      <w:marTop w:val="0"/>
      <w:marBottom w:val="0"/>
      <w:divBdr>
        <w:top w:val="none" w:sz="0" w:space="0" w:color="auto"/>
        <w:left w:val="none" w:sz="0" w:space="0" w:color="auto"/>
        <w:bottom w:val="none" w:sz="0" w:space="0" w:color="auto"/>
        <w:right w:val="none" w:sz="0" w:space="0" w:color="auto"/>
      </w:divBdr>
    </w:div>
    <w:div w:id="1706757074">
      <w:bodyDiv w:val="1"/>
      <w:marLeft w:val="0"/>
      <w:marRight w:val="0"/>
      <w:marTop w:val="0"/>
      <w:marBottom w:val="0"/>
      <w:divBdr>
        <w:top w:val="none" w:sz="0" w:space="0" w:color="auto"/>
        <w:left w:val="none" w:sz="0" w:space="0" w:color="auto"/>
        <w:bottom w:val="none" w:sz="0" w:space="0" w:color="auto"/>
        <w:right w:val="none" w:sz="0" w:space="0" w:color="auto"/>
      </w:divBdr>
    </w:div>
    <w:div w:id="21411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7" ma:contentTypeDescription="Create a new document." ma:contentTypeScope="" ma:versionID="36c61feadfa9157cf4055d1bda79c4f9">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99c8c28f89a0437b6539b674b8fb459d"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b726b1-2a07-4066-9a88-5743787bffc7}"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9658F-77A3-443B-8EF6-F12046C38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15A76-34AD-4502-87F1-BD764F7DD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Riley</dc:creator>
  <cp:keywords/>
  <dc:description/>
  <cp:lastModifiedBy>Patrick Riley</cp:lastModifiedBy>
  <cp:revision>2</cp:revision>
  <dcterms:created xsi:type="dcterms:W3CDTF">2023-08-25T19:38:00Z</dcterms:created>
  <dcterms:modified xsi:type="dcterms:W3CDTF">2023-08-25T19:38:00Z</dcterms:modified>
</cp:coreProperties>
</file>