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32B0">
      <w:pPr>
        <w:pStyle w:val="body"/>
        <w:tabs>
          <w:tab w:val="clear" w:pos="-1440"/>
          <w:tab w:val="clear" w:pos="-1080"/>
          <w:tab w:val="clear" w:pos="-720"/>
          <w:tab w:val="clear" w:pos="-36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enter" w:pos="4680"/>
        </w:tabs>
        <w:jc w:val="center"/>
        <w:rPr>
          <w:rFonts w:ascii="Times New Roman" w:hAnsi="Times New Roman"/>
          <w:b/>
          <w:spacing w:val="-3"/>
          <w:sz w:val="28"/>
        </w:rPr>
      </w:pPr>
    </w:p>
    <w:p w:rsidR="00000000" w:rsidRDefault="004732B0">
      <w:pPr>
        <w:pStyle w:val="body"/>
        <w:tabs>
          <w:tab w:val="clear" w:pos="-1440"/>
          <w:tab w:val="clear" w:pos="-1080"/>
          <w:tab w:val="clear" w:pos="-720"/>
          <w:tab w:val="clear" w:pos="-36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enter" w:pos="4680"/>
        </w:tabs>
        <w:jc w:val="center"/>
        <w:rPr>
          <w:rFonts w:ascii="Times New Roman" w:hAnsi="Times New Roman"/>
          <w:b/>
          <w:spacing w:val="-3"/>
          <w:sz w:val="28"/>
        </w:rPr>
      </w:pPr>
    </w:p>
    <w:p w:rsidR="00000000" w:rsidRDefault="004732B0">
      <w:pPr>
        <w:pStyle w:val="body"/>
        <w:tabs>
          <w:tab w:val="clear" w:pos="-1440"/>
          <w:tab w:val="clear" w:pos="-1080"/>
          <w:tab w:val="clear" w:pos="-720"/>
          <w:tab w:val="clear" w:pos="-36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enter" w:pos="4680"/>
        </w:tabs>
        <w:jc w:val="center"/>
        <w:rPr>
          <w:rFonts w:ascii="Times New Roman" w:hAnsi="Times New Roman"/>
          <w:b/>
          <w:spacing w:val="-3"/>
          <w:sz w:val="28"/>
        </w:rPr>
      </w:pPr>
    </w:p>
    <w:p w:rsidR="00000000" w:rsidRDefault="004732B0">
      <w:pPr>
        <w:pStyle w:val="body"/>
        <w:tabs>
          <w:tab w:val="clear" w:pos="-1440"/>
          <w:tab w:val="clear" w:pos="-1080"/>
          <w:tab w:val="clear" w:pos="-720"/>
          <w:tab w:val="clear" w:pos="-36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enter" w:pos="468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3"/>
          <w:sz w:val="28"/>
        </w:rPr>
        <w:t>TULSA DISPOSAL, LLC</w:t>
      </w:r>
    </w:p>
    <w:p w:rsidR="00000000" w:rsidRDefault="004732B0">
      <w:pPr>
        <w:pStyle w:val="body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000000" w:rsidRDefault="004732B0">
      <w:pPr>
        <w:pStyle w:val="body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TULSA, OKLAHOMA</w:t>
      </w:r>
    </w:p>
    <w:p w:rsidR="00000000" w:rsidRDefault="004732B0">
      <w:pPr>
        <w:pStyle w:val="body"/>
        <w:jc w:val="center"/>
        <w:rPr>
          <w:rFonts w:ascii="Times New Roman" w:hAnsi="Times New Roman"/>
          <w:b/>
          <w:sz w:val="28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b/>
          <w:sz w:val="28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b/>
          <w:sz w:val="28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b/>
          <w:sz w:val="28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b/>
          <w:sz w:val="28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TAB XIV</w:t>
      </w:r>
    </w:p>
    <w:p w:rsidR="00000000" w:rsidRDefault="004732B0">
      <w:pPr>
        <w:pStyle w:val="body"/>
        <w:jc w:val="center"/>
        <w:rPr>
          <w:rFonts w:ascii="Times New Roman" w:hAnsi="Times New Roman"/>
          <w:b/>
          <w:sz w:val="28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b/>
          <w:sz w:val="28"/>
        </w:rPr>
      </w:pPr>
    </w:p>
    <w:p w:rsidR="00000000" w:rsidRDefault="004732B0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:rsidR="00000000" w:rsidRDefault="004732B0">
      <w:pPr>
        <w:pStyle w:val="tochead"/>
        <w:widowControl/>
        <w:tabs>
          <w:tab w:val="clear" w:pos="-720"/>
        </w:tabs>
        <w:suppressAutoHyphens w:val="0"/>
        <w:rPr>
          <w:rFonts w:ascii="Times New Roman" w:hAnsi="Times New Roman"/>
          <w:b w:val="0"/>
          <w:smallCaps w:val="0"/>
        </w:rPr>
      </w:pPr>
    </w:p>
    <w:p w:rsidR="00000000" w:rsidRDefault="004732B0">
      <w:pPr>
        <w:pStyle w:val="tochead"/>
        <w:widowControl/>
        <w:tabs>
          <w:tab w:val="clear" w:pos="-720"/>
        </w:tabs>
        <w:suppressAutoHyphens w:val="0"/>
        <w:rPr>
          <w:rFonts w:ascii="Times New Roman" w:hAnsi="Times New Roman"/>
          <w:b w:val="0"/>
          <w:smallCaps w:val="0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sz w:val="24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sz w:val="24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sz w:val="24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sz w:val="24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sz w:val="24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sz w:val="24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Revised </w:t>
      </w:r>
      <w:r w:rsidR="002F76E2">
        <w:rPr>
          <w:rFonts w:ascii="Times New Roman" w:hAnsi="Times New Roman"/>
          <w:sz w:val="24"/>
        </w:rPr>
        <w:t>October 2015</w:t>
      </w:r>
      <w:r>
        <w:rPr>
          <w:rFonts w:ascii="Times New Roman" w:hAnsi="Times New Roman"/>
          <w:sz w:val="24"/>
        </w:rPr>
        <w:t xml:space="preserve"> </w:t>
      </w:r>
    </w:p>
    <w:p w:rsidR="00000000" w:rsidRDefault="004732B0">
      <w:pPr>
        <w:pStyle w:val="body"/>
        <w:jc w:val="center"/>
        <w:rPr>
          <w:rFonts w:ascii="Times New Roman" w:hAnsi="Times New Roman"/>
          <w:sz w:val="24"/>
        </w:rPr>
      </w:pPr>
    </w:p>
    <w:p w:rsidR="00000000" w:rsidRDefault="004732B0">
      <w:pPr>
        <w:pStyle w:val="body"/>
        <w:jc w:val="center"/>
        <w:rPr>
          <w:rFonts w:ascii="Times New Roman" w:hAnsi="Times New Roman"/>
          <w:sz w:val="24"/>
        </w:rPr>
      </w:pPr>
    </w:p>
    <w:p w:rsidR="00000000" w:rsidRDefault="004732B0">
      <w:pPr>
        <w:jc w:val="center"/>
        <w:rPr>
          <w:b/>
          <w:caps/>
          <w:sz w:val="24"/>
        </w:rPr>
      </w:pPr>
      <w:r>
        <w:rPr>
          <w:rFonts w:ascii="CG Times (W1)" w:hAnsi="CG Times (W1)"/>
          <w:b/>
          <w:sz w:val="22"/>
        </w:rPr>
        <w:br w:type="page"/>
      </w:r>
      <w:r>
        <w:rPr>
          <w:b/>
          <w:caps/>
          <w:sz w:val="24"/>
        </w:rPr>
        <w:lastRenderedPageBreak/>
        <w:t xml:space="preserve">Table of Contents </w:t>
      </w:r>
    </w:p>
    <w:p w:rsidR="00000000" w:rsidRDefault="004732B0">
      <w:pPr>
        <w:rPr>
          <w:sz w:val="22"/>
        </w:rPr>
      </w:pPr>
    </w:p>
    <w:p w:rsidR="00000000" w:rsidRDefault="004732B0">
      <w:pPr>
        <w:pStyle w:val="body"/>
        <w:tabs>
          <w:tab w:val="clear" w:pos="-1440"/>
          <w:tab w:val="clear" w:pos="-1080"/>
          <w:tab w:val="clear" w:pos="-720"/>
          <w:tab w:val="clear" w:pos="-36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enter" w:pos="4680"/>
        </w:tabs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u w:val="single"/>
        </w:rPr>
        <w:t>Section</w:t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  <w:t xml:space="preserve">   </w:t>
      </w:r>
      <w:r>
        <w:rPr>
          <w:rFonts w:ascii="Times New Roman" w:hAnsi="Times New Roman"/>
          <w:b/>
          <w:spacing w:val="-2"/>
          <w:sz w:val="24"/>
          <w:u w:val="single"/>
        </w:rPr>
        <w:t>Page</w:t>
      </w:r>
    </w:p>
    <w:p w:rsidR="00000000" w:rsidRDefault="004732B0">
      <w:pPr>
        <w:pStyle w:val="body"/>
        <w:widowControl/>
        <w:tabs>
          <w:tab w:val="clear" w:pos="-1440"/>
          <w:tab w:val="clear" w:pos="-1080"/>
          <w:tab w:val="clear" w:pos="-720"/>
          <w:tab w:val="clear" w:pos="-360"/>
          <w:tab w:val="clear" w:pos="0"/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720"/>
          <w:tab w:val="clear" w:pos="10080"/>
          <w:tab w:val="left" w:pos="720"/>
          <w:tab w:val="right" w:pos="9360"/>
        </w:tabs>
        <w:suppressAutoHyphens w:val="0"/>
        <w:spacing w:line="240" w:lineRule="auto"/>
        <w:rPr>
          <w:rFonts w:ascii="Times New Roman" w:hAnsi="Times New Roman"/>
        </w:rPr>
      </w:pPr>
    </w:p>
    <w:p w:rsidR="00000000" w:rsidRDefault="004732B0">
      <w:pPr>
        <w:pStyle w:val="body"/>
        <w:widowControl/>
        <w:tabs>
          <w:tab w:val="clear" w:pos="-1440"/>
          <w:tab w:val="clear" w:pos="-1080"/>
          <w:tab w:val="clear" w:pos="-720"/>
          <w:tab w:val="clear" w:pos="-360"/>
          <w:tab w:val="clear" w:pos="0"/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720"/>
          <w:tab w:val="clear" w:pos="10080"/>
          <w:tab w:val="left" w:pos="720"/>
          <w:tab w:val="right" w:pos="9360"/>
        </w:tabs>
        <w:suppressAutoHyphen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Tab XIV - References</w:t>
      </w:r>
      <w:r>
        <w:rPr>
          <w:rFonts w:ascii="Times New Roman" w:hAnsi="Times New Roman"/>
        </w:rPr>
        <w:tab/>
        <w:t>14-2</w:t>
      </w:r>
    </w:p>
    <w:p w:rsidR="00000000" w:rsidRDefault="004732B0">
      <w:pPr>
        <w:pStyle w:val="body"/>
        <w:widowControl/>
        <w:tabs>
          <w:tab w:val="clear" w:pos="-1440"/>
          <w:tab w:val="clear" w:pos="-1080"/>
          <w:tab w:val="clear" w:pos="-720"/>
          <w:tab w:val="clear" w:pos="-360"/>
          <w:tab w:val="clear" w:pos="0"/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720"/>
          <w:tab w:val="clear" w:pos="10080"/>
          <w:tab w:val="left" w:pos="720"/>
          <w:tab w:val="right" w:pos="9360"/>
        </w:tabs>
        <w:suppressAutoHyphens w:val="0"/>
        <w:spacing w:line="240" w:lineRule="auto"/>
        <w:rPr>
          <w:rFonts w:ascii="Times New Roman" w:hAnsi="Times New Roman"/>
        </w:rPr>
      </w:pPr>
    </w:p>
    <w:p w:rsidR="00000000" w:rsidRDefault="004732B0">
      <w:pPr>
        <w:jc w:val="center"/>
        <w:rPr>
          <w:rFonts w:ascii="CG Times (W1)" w:hAnsi="CG Times (W1)"/>
          <w:sz w:val="24"/>
        </w:rPr>
      </w:pPr>
      <w:r>
        <w:rPr>
          <w:rFonts w:ascii="CG Times (W1)" w:hAnsi="CG Times (W1)"/>
        </w:rPr>
        <w:br w:type="page"/>
      </w:r>
    </w:p>
    <w:p w:rsidR="00000000" w:rsidRDefault="004732B0">
      <w:pPr>
        <w:jc w:val="center"/>
        <w:rPr>
          <w:b/>
          <w:sz w:val="24"/>
        </w:rPr>
      </w:pPr>
      <w:r>
        <w:rPr>
          <w:b/>
          <w:sz w:val="24"/>
        </w:rPr>
        <w:t>REFERENCE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seq level0 \h \r0 </w:instrText>
      </w:r>
      <w:r>
        <w:rPr>
          <w:b/>
          <w:sz w:val="24"/>
        </w:rPr>
        <w:fldChar w:fldCharType="end"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seq level1 \h \r0 </w:instrText>
      </w:r>
      <w:r>
        <w:rPr>
          <w:b/>
          <w:sz w:val="24"/>
        </w:rPr>
        <w:fldChar w:fldCharType="end"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seq level2 \h \r0 </w:instrText>
      </w:r>
      <w:r>
        <w:rPr>
          <w:b/>
          <w:sz w:val="24"/>
        </w:rPr>
        <w:fldChar w:fldCharType="end"/>
      </w:r>
      <w:r>
        <w:rPr>
          <w:b/>
          <w:sz w:val="24"/>
        </w:rPr>
        <w:fldChar w:fldCharType="begin"/>
      </w:r>
      <w:r>
        <w:rPr>
          <w:b/>
          <w:sz w:val="24"/>
        </w:rPr>
        <w:instrText>seq level3 \h</w:instrText>
      </w:r>
      <w:r>
        <w:rPr>
          <w:b/>
          <w:sz w:val="24"/>
        </w:rPr>
        <w:instrText xml:space="preserve"> \r0 </w:instrText>
      </w:r>
      <w:r>
        <w:rPr>
          <w:b/>
          <w:sz w:val="24"/>
        </w:rPr>
        <w:fldChar w:fldCharType="end"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seq level4 \h \r0 </w:instrText>
      </w:r>
      <w:r>
        <w:rPr>
          <w:b/>
          <w:sz w:val="24"/>
        </w:rPr>
        <w:fldChar w:fldCharType="end"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seq level5 \h \r0 </w:instrText>
      </w:r>
      <w:r>
        <w:rPr>
          <w:b/>
          <w:sz w:val="24"/>
        </w:rPr>
        <w:fldChar w:fldCharType="end"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seq level6 \h \r0 </w:instrText>
      </w:r>
      <w:r>
        <w:rPr>
          <w:b/>
          <w:sz w:val="24"/>
        </w:rPr>
        <w:fldChar w:fldCharType="end"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seq level7 \h \r0 </w:instrText>
      </w:r>
      <w:r>
        <w:rPr>
          <w:b/>
          <w:sz w:val="24"/>
        </w:rPr>
        <w:fldChar w:fldCharType="end"/>
      </w:r>
      <w:r>
        <w:rPr>
          <w:b/>
          <w:sz w:val="24"/>
        </w:rPr>
        <w:t>S</w:t>
      </w:r>
    </w:p>
    <w:p w:rsidR="00000000" w:rsidRDefault="004732B0">
      <w:pPr>
        <w:rPr>
          <w:b/>
          <w:smallCaps/>
          <w:sz w:val="24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Laidlaw Environmental Services.</w:t>
      </w:r>
      <w:proofErr w:type="gramEnd"/>
      <w:r>
        <w:rPr>
          <w:spacing w:val="-2"/>
          <w:sz w:val="22"/>
        </w:rPr>
        <w:t xml:space="preserve"> </w:t>
      </w:r>
      <w:proofErr w:type="gramStart"/>
      <w:r>
        <w:rPr>
          <w:spacing w:val="-2"/>
          <w:sz w:val="22"/>
        </w:rPr>
        <w:t xml:space="preserve">1995a. </w:t>
      </w:r>
      <w:r>
        <w:rPr>
          <w:i/>
          <w:spacing w:val="-2"/>
          <w:sz w:val="22"/>
        </w:rPr>
        <w:t>Corrective Measures Study (CMS) Plan, USPCI/Laidlaw Treatment and Recovery Services, 5354 West 46th Street South, Tulsa, Oklahom</w:t>
      </w:r>
      <w:r>
        <w:rPr>
          <w:i/>
          <w:spacing w:val="-2"/>
          <w:sz w:val="22"/>
        </w:rPr>
        <w:t>a.</w:t>
      </w:r>
      <w:proofErr w:type="gramEnd"/>
      <w:r>
        <w:rPr>
          <w:spacing w:val="-2"/>
          <w:sz w:val="22"/>
        </w:rPr>
        <w:t xml:space="preserve"> Unpublished report dated February 1995.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Laidlaw Environmental Services.</w:t>
      </w:r>
      <w:proofErr w:type="gramEnd"/>
      <w:r>
        <w:rPr>
          <w:spacing w:val="-2"/>
          <w:sz w:val="22"/>
        </w:rPr>
        <w:t xml:space="preserve"> </w:t>
      </w:r>
      <w:proofErr w:type="gramStart"/>
      <w:r>
        <w:rPr>
          <w:spacing w:val="-2"/>
          <w:sz w:val="22"/>
        </w:rPr>
        <w:t xml:space="preserve">1995b. </w:t>
      </w:r>
      <w:r>
        <w:rPr>
          <w:i/>
          <w:spacing w:val="-2"/>
          <w:sz w:val="22"/>
        </w:rPr>
        <w:t>Interim Measure (IM) Plan, USPCI/Laidlaw Treatment and Recovery Services, 5354 West 46th Street South, Tulsa, Oklahoma.</w:t>
      </w:r>
      <w:proofErr w:type="gramEnd"/>
      <w:r>
        <w:rPr>
          <w:spacing w:val="-2"/>
          <w:sz w:val="22"/>
        </w:rPr>
        <w:t xml:space="preserve"> Unpublished report dated March 1995.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Laidlaw Environ</w:t>
      </w:r>
      <w:r>
        <w:rPr>
          <w:spacing w:val="-2"/>
          <w:sz w:val="22"/>
        </w:rPr>
        <w:t>mental Services.</w:t>
      </w:r>
      <w:proofErr w:type="gramEnd"/>
      <w:r>
        <w:rPr>
          <w:spacing w:val="-2"/>
          <w:sz w:val="22"/>
        </w:rPr>
        <w:t xml:space="preserve"> 1997. </w:t>
      </w:r>
      <w:r>
        <w:rPr>
          <w:i/>
          <w:spacing w:val="-2"/>
          <w:sz w:val="22"/>
        </w:rPr>
        <w:t>Groundwater Site-Specific Target Level Assessment, Treatment and Recovery Services, 5354 West 46th Street South, Tulsa, Oklahoma.</w:t>
      </w:r>
      <w:r>
        <w:rPr>
          <w:spacing w:val="-2"/>
          <w:sz w:val="22"/>
        </w:rPr>
        <w:t xml:space="preserve"> Unpublished report dated May 8, 1997.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Laidlaw Environmental Services.</w:t>
      </w:r>
      <w:proofErr w:type="gramEnd"/>
      <w:r>
        <w:rPr>
          <w:spacing w:val="-2"/>
          <w:sz w:val="22"/>
        </w:rPr>
        <w:t xml:space="preserve"> 1998. </w:t>
      </w:r>
      <w:r>
        <w:rPr>
          <w:i/>
          <w:spacing w:val="-2"/>
          <w:sz w:val="22"/>
        </w:rPr>
        <w:t>Second Quarter 1998 (April</w:t>
      </w:r>
      <w:r>
        <w:rPr>
          <w:i/>
          <w:spacing w:val="-2"/>
          <w:sz w:val="22"/>
        </w:rPr>
        <w:t xml:space="preserve"> - June) Groundwater and Interim Measure Monitoring Report, Laidlaw Environmental Services (Tulsa), Inc., 5354 West 46th Street South, Tulsa, Oklahoma</w:t>
      </w:r>
      <w:r>
        <w:rPr>
          <w:spacing w:val="-2"/>
          <w:sz w:val="22"/>
        </w:rPr>
        <w:t>. Unpublished report dated July 8, 1998.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Laidlaw Environmental Services.</w:t>
      </w:r>
      <w:proofErr w:type="gramEnd"/>
      <w:r>
        <w:rPr>
          <w:spacing w:val="-2"/>
          <w:sz w:val="22"/>
        </w:rPr>
        <w:t xml:space="preserve"> 1998. </w:t>
      </w:r>
      <w:r>
        <w:rPr>
          <w:i/>
          <w:spacing w:val="-2"/>
          <w:sz w:val="22"/>
        </w:rPr>
        <w:t>Third Quarter 1998 (July -</w:t>
      </w:r>
      <w:r>
        <w:rPr>
          <w:i/>
          <w:spacing w:val="-2"/>
          <w:sz w:val="22"/>
        </w:rPr>
        <w:t xml:space="preserve"> September) Groundwater and Interim Measure Monitoring Report, Safety-Kleen (Tulsa), Inc., 5354 West 46th Street South, Tulsa, Oklahoma.</w:t>
      </w:r>
      <w:r>
        <w:rPr>
          <w:spacing w:val="-2"/>
          <w:sz w:val="22"/>
        </w:rPr>
        <w:t xml:space="preserve"> Unpublished report dated November 5, 1998.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Oklahoma Department of Environmental Quality.</w:t>
      </w:r>
      <w:proofErr w:type="gramEnd"/>
      <w:r>
        <w:rPr>
          <w:spacing w:val="-2"/>
          <w:sz w:val="22"/>
        </w:rPr>
        <w:t xml:space="preserve"> 1995. </w:t>
      </w:r>
      <w:r>
        <w:rPr>
          <w:i/>
          <w:spacing w:val="-2"/>
          <w:sz w:val="22"/>
        </w:rPr>
        <w:t>Review of Scoping Docum</w:t>
      </w:r>
      <w:r>
        <w:rPr>
          <w:i/>
          <w:spacing w:val="-2"/>
          <w:sz w:val="22"/>
        </w:rPr>
        <w:t>ent, Alternative Concentration Limits.</w:t>
      </w:r>
      <w:r>
        <w:rPr>
          <w:spacing w:val="-2"/>
          <w:sz w:val="22"/>
        </w:rPr>
        <w:t xml:space="preserve"> Letter submitted to Mike Sanderock of Laidlaw Environmental Services dated December 15, 1995.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r>
        <w:rPr>
          <w:spacing w:val="-2"/>
          <w:sz w:val="22"/>
        </w:rPr>
        <w:t>Oklahoma Department of Environmental Quality, February 24, 1997. Letter from H. A. Caves (ODEQ) to Timothy F. Kent (Laidla</w:t>
      </w:r>
      <w:r>
        <w:rPr>
          <w:spacing w:val="-2"/>
          <w:sz w:val="22"/>
        </w:rPr>
        <w:t>w Environmental Services, Inc.) re: Review of the Groundwater Site-Specific Target Level Assessment, Laidlaw Treatment and Recovery Services, Tulsa Facility, OKD0063273/ HSWA Permit No. 3572028, 3 pages.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r>
        <w:rPr>
          <w:spacing w:val="-2"/>
          <w:sz w:val="22"/>
        </w:rPr>
        <w:t>Oklahoma Department of Environmental Quality, Augus</w:t>
      </w:r>
      <w:r>
        <w:rPr>
          <w:spacing w:val="-2"/>
          <w:sz w:val="22"/>
        </w:rPr>
        <w:t xml:space="preserve">t 5, 1998. Letter from H. A. Caves (ODEQ) to Bill R. Ross (Laidlaw Environmental Services, Inc.) re: ODEQ Letter Regarding Site Specific Target Level </w:t>
      </w:r>
      <w:proofErr w:type="gramStart"/>
      <w:r>
        <w:rPr>
          <w:spacing w:val="-2"/>
          <w:sz w:val="22"/>
        </w:rPr>
        <w:t>Assessment,</w:t>
      </w:r>
      <w:proofErr w:type="gramEnd"/>
      <w:r>
        <w:rPr>
          <w:spacing w:val="-2"/>
          <w:sz w:val="22"/>
        </w:rPr>
        <w:t xml:space="preserve"> dated May 7, 1998, OKD089761290, 2 pages.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USPCI, 1992.</w:t>
      </w:r>
      <w:proofErr w:type="gramEnd"/>
      <w:r>
        <w:rPr>
          <w:spacing w:val="-2"/>
          <w:sz w:val="22"/>
        </w:rPr>
        <w:t xml:space="preserve"> </w:t>
      </w:r>
      <w:r>
        <w:rPr>
          <w:i/>
          <w:spacing w:val="-2"/>
          <w:sz w:val="22"/>
        </w:rPr>
        <w:t>Site Assessment Report, HRI Tulsa faci</w:t>
      </w:r>
      <w:r>
        <w:rPr>
          <w:i/>
          <w:spacing w:val="-2"/>
          <w:sz w:val="22"/>
        </w:rPr>
        <w:t>lity, Tulsa, Oklahoma.</w:t>
      </w:r>
      <w:r>
        <w:rPr>
          <w:spacing w:val="-2"/>
          <w:sz w:val="22"/>
        </w:rPr>
        <w:t xml:space="preserve"> Unpublished report dated August 1992.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USPCI, 1994.</w:t>
      </w:r>
      <w:proofErr w:type="gramEnd"/>
      <w:r>
        <w:rPr>
          <w:spacing w:val="-2"/>
          <w:sz w:val="22"/>
        </w:rPr>
        <w:t xml:space="preserve"> </w:t>
      </w:r>
      <w:proofErr w:type="gramStart"/>
      <w:r>
        <w:rPr>
          <w:i/>
          <w:spacing w:val="-2"/>
          <w:sz w:val="22"/>
        </w:rPr>
        <w:t>RCRA Facility Investigation Final Report, TRS Tulsa Facility, Tulsa, Oklahoma</w:t>
      </w:r>
      <w:r>
        <w:rPr>
          <w:spacing w:val="-2"/>
          <w:sz w:val="22"/>
        </w:rPr>
        <w:t>.</w:t>
      </w:r>
      <w:proofErr w:type="gramEnd"/>
      <w:r>
        <w:rPr>
          <w:spacing w:val="-2"/>
          <w:sz w:val="22"/>
        </w:rPr>
        <w:t xml:space="preserve"> Unpublished report dated October 1994, 44 pages.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USPCI/Laidlaw Treatment and Recovery Services, 1995a</w:t>
      </w:r>
      <w:r>
        <w:rPr>
          <w:spacing w:val="-2"/>
          <w:sz w:val="22"/>
        </w:rPr>
        <w:t>.</w:t>
      </w:r>
      <w:proofErr w:type="gramEnd"/>
      <w:r>
        <w:rPr>
          <w:spacing w:val="-2"/>
          <w:sz w:val="22"/>
        </w:rPr>
        <w:t xml:space="preserve"> </w:t>
      </w:r>
      <w:proofErr w:type="gramStart"/>
      <w:r>
        <w:rPr>
          <w:i/>
          <w:spacing w:val="-2"/>
          <w:sz w:val="22"/>
        </w:rPr>
        <w:t>Corrective Measures Study (CMS) Plan</w:t>
      </w:r>
      <w:r>
        <w:rPr>
          <w:spacing w:val="-2"/>
          <w:sz w:val="22"/>
        </w:rPr>
        <w:t>.</w:t>
      </w:r>
      <w:proofErr w:type="gramEnd"/>
      <w:r>
        <w:rPr>
          <w:spacing w:val="-2"/>
          <w:sz w:val="22"/>
        </w:rPr>
        <w:t xml:space="preserve"> Unpublished report dated February 1995.</w:t>
      </w: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USPCI/Laidlaw Treatment and Recovery Services, 1995b.</w:t>
      </w:r>
      <w:proofErr w:type="gramEnd"/>
      <w:r>
        <w:rPr>
          <w:spacing w:val="-2"/>
          <w:sz w:val="22"/>
        </w:rPr>
        <w:t xml:space="preserve"> </w:t>
      </w:r>
      <w:proofErr w:type="gramStart"/>
      <w:r>
        <w:rPr>
          <w:i/>
          <w:spacing w:val="-2"/>
          <w:sz w:val="22"/>
        </w:rPr>
        <w:t>Interim Measure (IM) Plan</w:t>
      </w:r>
      <w:r>
        <w:rPr>
          <w:spacing w:val="-2"/>
          <w:sz w:val="22"/>
        </w:rPr>
        <w:t>.</w:t>
      </w:r>
      <w:proofErr w:type="gramEnd"/>
      <w:r>
        <w:rPr>
          <w:spacing w:val="-2"/>
          <w:sz w:val="22"/>
        </w:rPr>
        <w:t xml:space="preserve"> Unpublished report dated March 1995. </w:t>
      </w:r>
    </w:p>
    <w:p w:rsidR="00000000" w:rsidRDefault="004732B0">
      <w:pPr>
        <w:rPr>
          <w:b/>
          <w:smallCaps/>
          <w:sz w:val="22"/>
        </w:rPr>
      </w:pPr>
    </w:p>
    <w:p w:rsidR="0000000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  <w:proofErr w:type="gramStart"/>
      <w:r>
        <w:rPr>
          <w:spacing w:val="-2"/>
          <w:sz w:val="22"/>
        </w:rPr>
        <w:t>USPCI/Laidlaw, 1996.</w:t>
      </w:r>
      <w:proofErr w:type="gramEnd"/>
      <w:r>
        <w:rPr>
          <w:spacing w:val="-2"/>
          <w:sz w:val="22"/>
        </w:rPr>
        <w:t xml:space="preserve"> </w:t>
      </w:r>
      <w:proofErr w:type="gramStart"/>
      <w:r>
        <w:rPr>
          <w:i/>
          <w:spacing w:val="-2"/>
          <w:sz w:val="22"/>
        </w:rPr>
        <w:t>Groundwater Site-Specific Target L</w:t>
      </w:r>
      <w:r>
        <w:rPr>
          <w:i/>
          <w:spacing w:val="-2"/>
          <w:sz w:val="22"/>
        </w:rPr>
        <w:t>evel Assessment, Treatment and Recovery Services, 5354 West 46th Street South, Tulsa, Oklahoma.</w:t>
      </w:r>
      <w:proofErr w:type="gramEnd"/>
      <w:r>
        <w:rPr>
          <w:spacing w:val="-2"/>
          <w:sz w:val="22"/>
        </w:rPr>
        <w:t xml:space="preserve"> Unpublished report dated July 12, 1996.</w:t>
      </w:r>
    </w:p>
    <w:p w:rsidR="00CB17B1" w:rsidRDefault="00CB17B1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p w:rsidR="00CB17B1" w:rsidRPr="00CB17B1" w:rsidRDefault="00CB17B1" w:rsidP="00CB17B1">
      <w:pPr>
        <w:pStyle w:val="body"/>
        <w:tabs>
          <w:tab w:val="clear" w:pos="-1440"/>
          <w:tab w:val="clear" w:pos="-1080"/>
          <w:tab w:val="clear" w:pos="-720"/>
          <w:tab w:val="clear" w:pos="-36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enter" w:pos="4680"/>
        </w:tabs>
        <w:rPr>
          <w:rFonts w:ascii="Times New Roman" w:hAnsi="Times New Roman"/>
          <w:szCs w:val="22"/>
        </w:rPr>
      </w:pPr>
      <w:proofErr w:type="gramStart"/>
      <w:r w:rsidRPr="00CB17B1">
        <w:rPr>
          <w:rFonts w:ascii="Times New Roman" w:hAnsi="Times New Roman"/>
          <w:spacing w:val="-2"/>
          <w:szCs w:val="22"/>
        </w:rPr>
        <w:t xml:space="preserve">Cameron-Cole, </w:t>
      </w:r>
      <w:r w:rsidRPr="00CB17B1">
        <w:rPr>
          <w:rFonts w:ascii="Times New Roman" w:hAnsi="Times New Roman"/>
          <w:i/>
          <w:spacing w:val="-3"/>
          <w:szCs w:val="22"/>
        </w:rPr>
        <w:t>2015 FIRST SEMI-ANNUAL (JANUARY-JUNE) GROUNDWATER AND C</w:t>
      </w:r>
      <w:r w:rsidRPr="00CB17B1">
        <w:rPr>
          <w:rFonts w:ascii="Times New Roman" w:hAnsi="Times New Roman"/>
          <w:i/>
          <w:szCs w:val="22"/>
        </w:rPr>
        <w:t>ORRECTIVE MEASURE MONITORING REPORT, TULSA DISPOSAL, LLC</w:t>
      </w:r>
      <w:r>
        <w:rPr>
          <w:rFonts w:ascii="Times New Roman" w:hAnsi="Times New Roman"/>
          <w:szCs w:val="22"/>
        </w:rPr>
        <w:t>, Unpublished and dated October 9, 2015.</w:t>
      </w:r>
      <w:proofErr w:type="gramEnd"/>
    </w:p>
    <w:p w:rsidR="00CB17B1" w:rsidRPr="00CB17B1" w:rsidRDefault="00CB17B1" w:rsidP="00CB17B1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  <w:szCs w:val="22"/>
        </w:rPr>
      </w:pPr>
    </w:p>
    <w:p w:rsidR="004732B0" w:rsidRDefault="004732B0">
      <w:pPr>
        <w:tabs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pacing w:val="-2"/>
          <w:sz w:val="22"/>
        </w:rPr>
      </w:pPr>
    </w:p>
    <w:sectPr w:rsidR="004732B0">
      <w:headerReference w:type="default" r:id="rId7"/>
      <w:footerReference w:type="default" r:id="rId8"/>
      <w:headerReference w:type="first" r:id="rId9"/>
      <w:pgSz w:w="12240" w:h="15840"/>
      <w:pgMar w:top="1800" w:right="108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B0" w:rsidRDefault="004732B0" w:rsidP="00ED484F">
      <w:r>
        <w:separator/>
      </w:r>
    </w:p>
  </w:endnote>
  <w:endnote w:type="continuationSeparator" w:id="0">
    <w:p w:rsidR="004732B0" w:rsidRDefault="004732B0" w:rsidP="00ED4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32B0">
    <w:pPr>
      <w:pStyle w:val="Footer"/>
      <w:tabs>
        <w:tab w:val="clear" w:pos="4320"/>
        <w:tab w:val="center" w:pos="4680"/>
      </w:tabs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CB17B1">
      <w:rPr>
        <w:noProof/>
        <w:snapToGrid w:val="0"/>
      </w:rPr>
      <w:t>Tab 14 102215.docx</w:t>
    </w:r>
    <w:r>
      <w:rPr>
        <w:snapToGrid w:val="0"/>
      </w:rPr>
      <w:fldChar w:fldCharType="end"/>
    </w:r>
    <w:r>
      <w:tab/>
      <w:t>Page 14-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7B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B0" w:rsidRDefault="004732B0" w:rsidP="00ED484F">
      <w:r>
        <w:separator/>
      </w:r>
    </w:p>
  </w:footnote>
  <w:footnote w:type="continuationSeparator" w:id="0">
    <w:p w:rsidR="004732B0" w:rsidRDefault="004732B0" w:rsidP="00ED4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32B0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mallCaps/>
        <w:color w:val="000000"/>
      </w:rPr>
    </w:pPr>
    <w:r>
      <w:rPr>
        <w:b/>
        <w:smallCaps/>
        <w:color w:val="000000"/>
      </w:rPr>
      <w:t>Tulsa Disposal, LLC</w:t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  <w:t>Tab XIV - References</w:t>
    </w:r>
  </w:p>
  <w:p w:rsidR="00000000" w:rsidRDefault="004732B0">
    <w:pPr>
      <w:pStyle w:val="Header"/>
      <w:tabs>
        <w:tab w:val="clear" w:pos="8640"/>
        <w:tab w:val="right" w:pos="9360"/>
      </w:tabs>
      <w:rPr>
        <w:b/>
        <w:color w:val="000000"/>
      </w:rPr>
    </w:pPr>
    <w:r>
      <w:rPr>
        <w:b/>
        <w:smallCaps/>
        <w:color w:val="000000"/>
      </w:rPr>
      <w:t>RCRA Permit Renewal Application</w:t>
    </w:r>
    <w:r>
      <w:rPr>
        <w:b/>
        <w:color w:val="000000"/>
      </w:rPr>
      <w:tab/>
    </w:r>
    <w:r>
      <w:rPr>
        <w:b/>
        <w:color w:val="000000"/>
      </w:rPr>
      <w:tab/>
      <w:t xml:space="preserve">Revised </w:t>
    </w:r>
    <w:r w:rsidR="00CB17B1">
      <w:rPr>
        <w:b/>
        <w:color w:val="000000"/>
      </w:rPr>
      <w:t>October 2015</w:t>
    </w:r>
  </w:p>
  <w:p w:rsidR="00000000" w:rsidRDefault="004732B0">
    <w:pPr>
      <w:pStyle w:val="Header"/>
      <w:tabs>
        <w:tab w:val="clear" w:pos="8640"/>
        <w:tab w:val="right" w:pos="9360"/>
      </w:tabs>
    </w:pPr>
  </w:p>
  <w:p w:rsidR="00000000" w:rsidRDefault="004732B0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32B0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58C"/>
    <w:multiLevelType w:val="singleLevel"/>
    <w:tmpl w:val="08B8E74C"/>
    <w:lvl w:ilvl="0">
      <w:start w:val="1"/>
      <w:numFmt w:val="decimal"/>
      <w:lvlText w:val="6.3.%1 "/>
      <w:legacy w:legacy="1" w:legacySpace="0" w:legacyIndent="360"/>
      <w:lvlJc w:val="left"/>
      <w:pPr>
        <w:ind w:left="1800" w:hanging="360"/>
      </w:pPr>
      <w:rPr>
        <w:rFonts w:ascii="CG Times (W1)" w:hAnsi="CG Times (W1)" w:hint="default"/>
        <w:b w:val="0"/>
        <w:i w:val="0"/>
        <w:sz w:val="22"/>
        <w:u w:val="none"/>
      </w:rPr>
    </w:lvl>
  </w:abstractNum>
  <w:abstractNum w:abstractNumId="1">
    <w:nsid w:val="5A1945B0"/>
    <w:multiLevelType w:val="multilevel"/>
    <w:tmpl w:val="52D059A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>
    <w:nsid w:val="6AFF1827"/>
    <w:multiLevelType w:val="singleLevel"/>
    <w:tmpl w:val="88780A4A"/>
    <w:lvl w:ilvl="0">
      <w:start w:val="4"/>
      <w:numFmt w:val="decimal"/>
      <w:lvlText w:val="6.%1 "/>
      <w:legacy w:legacy="1" w:legacySpace="0" w:legacyIndent="360"/>
      <w:lvlJc w:val="left"/>
      <w:pPr>
        <w:ind w:left="1080" w:hanging="360"/>
      </w:pPr>
      <w:rPr>
        <w:rFonts w:ascii="CG Times (W1)" w:hAnsi="CG Times (W1)" w:hint="default"/>
        <w:b w:val="0"/>
        <w:i w:val="0"/>
        <w:sz w:val="22"/>
        <w:u w:val="none"/>
      </w:rPr>
    </w:lvl>
  </w:abstractNum>
  <w:abstractNum w:abstractNumId="3">
    <w:nsid w:val="72057BCC"/>
    <w:multiLevelType w:val="multilevel"/>
    <w:tmpl w:val="1542D41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A3779B"/>
    <w:multiLevelType w:val="singleLevel"/>
    <w:tmpl w:val="8AE6FE1E"/>
    <w:lvl w:ilvl="0"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CG Times (W1)" w:hAnsi="CG Times (W1)" w:hint="default"/>
        <w:b w:val="0"/>
        <w:i w:val="0"/>
        <w:sz w:val="22"/>
        <w:u w:val="none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6.%1 "/>
        <w:legacy w:legacy="1" w:legacySpace="0" w:legacyIndent="360"/>
        <w:lvlJc w:val="left"/>
        <w:pPr>
          <w:ind w:left="1080" w:hanging="360"/>
        </w:pPr>
        <w:rPr>
          <w:rFonts w:ascii="CG Times (W1)" w:hAnsi="CG Times (W1)" w:hint="default"/>
          <w:b w:val="0"/>
          <w:i w:val="0"/>
          <w:sz w:val="22"/>
          <w:u w:val="none"/>
        </w:rPr>
      </w:lvl>
    </w:lvlOverride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6.%1 "/>
        <w:legacy w:legacy="1" w:legacySpace="0" w:legacyIndent="360"/>
        <w:lvlJc w:val="left"/>
        <w:pPr>
          <w:ind w:left="1080" w:hanging="360"/>
        </w:pPr>
        <w:rPr>
          <w:rFonts w:ascii="CG Times (W1)" w:hAnsi="CG Times (W1)" w:hint="default"/>
          <w:b w:val="0"/>
          <w:i w:val="0"/>
          <w:sz w:val="22"/>
          <w:u w:val="none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6E2"/>
    <w:rsid w:val="002F76E2"/>
    <w:rsid w:val="004732B0"/>
    <w:rsid w:val="00CB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1)" w:hAnsi="CG Times (W1)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">
    <w:name w:val="#B"/>
    <w:basedOn w:val="DefaultParagraphFont"/>
  </w:style>
  <w:style w:type="character" w:customStyle="1" w:styleId="C">
    <w:name w:val="#C"/>
    <w:basedOn w:val="DefaultParagraphFont"/>
  </w:style>
  <w:style w:type="paragraph" w:customStyle="1" w:styleId="body">
    <w:name w:val="body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suppressAutoHyphens/>
      <w:spacing w:line="300" w:lineRule="auto"/>
    </w:pPr>
    <w:rPr>
      <w:rFonts w:ascii="CG Times" w:hAnsi="CG Times"/>
      <w:sz w:val="22"/>
    </w:rPr>
  </w:style>
  <w:style w:type="paragraph" w:customStyle="1" w:styleId="A">
    <w:name w:val="#A"/>
    <w:pPr>
      <w:widowControl w:val="0"/>
      <w:tabs>
        <w:tab w:val="left" w:pos="-720"/>
      </w:tabs>
      <w:suppressAutoHyphens/>
      <w:jc w:val="center"/>
    </w:pPr>
    <w:rPr>
      <w:rFonts w:ascii="Univers" w:hAnsi="Univers"/>
      <w:b/>
      <w:smallCaps/>
      <w:sz w:val="26"/>
    </w:rPr>
  </w:style>
  <w:style w:type="character" w:customStyle="1" w:styleId="D">
    <w:name w:val="#D"/>
    <w:basedOn w:val="DefaultParagraphFont"/>
  </w:style>
  <w:style w:type="paragraph" w:customStyle="1" w:styleId="HeadingBase">
    <w:name w:val="Heading Base"/>
    <w:basedOn w:val="Normal"/>
    <w:next w:val="Normal"/>
    <w:pPr>
      <w:keepNext/>
      <w:keepLines/>
      <w:spacing w:before="140" w:line="220" w:lineRule="atLeast"/>
    </w:pPr>
    <w:rPr>
      <w:rFonts w:ascii="CG Times" w:hAnsi="CG Times"/>
      <w:spacing w:val="-4"/>
      <w:kern w:val="28"/>
      <w:sz w:val="22"/>
    </w:rPr>
  </w:style>
  <w:style w:type="paragraph" w:customStyle="1" w:styleId="HeaderBase">
    <w:name w:val="Header Base"/>
    <w:basedOn w:val="Normal"/>
    <w:pPr>
      <w:keepLines/>
      <w:spacing w:line="300" w:lineRule="auto"/>
    </w:pPr>
    <w:rPr>
      <w:rFonts w:ascii="Univers" w:hAnsi="Univers"/>
      <w:spacing w:val="-4"/>
      <w:sz w:val="22"/>
    </w:rPr>
  </w:style>
  <w:style w:type="paragraph" w:customStyle="1" w:styleId="T2">
    <w:name w:val="T2"/>
    <w:pPr>
      <w:framePr w:hSpace="187" w:wrap="auto" w:vAnchor="page" w:hAnchor="text" w:y="12241"/>
      <w:widowControl w:val="0"/>
      <w:suppressAutoHyphens/>
      <w:ind w:left="1440" w:right="1440"/>
      <w:jc w:val="center"/>
    </w:pPr>
    <w:rPr>
      <w:rFonts w:ascii="Univers" w:hAnsi="Univers"/>
      <w:sz w:val="24"/>
    </w:rPr>
  </w:style>
  <w:style w:type="paragraph" w:customStyle="1" w:styleId="T1">
    <w:name w:val="T1"/>
    <w:pPr>
      <w:framePr w:hSpace="187" w:wrap="notBeside" w:vAnchor="page" w:hAnchor="page" w:xAlign="center" w:y="3601"/>
      <w:widowControl w:val="0"/>
      <w:suppressAutoHyphens/>
      <w:jc w:val="center"/>
    </w:pPr>
    <w:rPr>
      <w:rFonts w:ascii="Univers" w:hAnsi="Univers"/>
      <w:b/>
      <w:smallCaps/>
      <w:sz w:val="28"/>
    </w:rPr>
  </w:style>
  <w:style w:type="paragraph" w:customStyle="1" w:styleId="TOCtext">
    <w:name w:val="TOC text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right" w:leader="dot" w:pos="8640"/>
      </w:tabs>
      <w:suppressAutoHyphens/>
    </w:pPr>
    <w:rPr>
      <w:rFonts w:ascii="CG Times" w:hAnsi="CG Times"/>
      <w:sz w:val="22"/>
    </w:rPr>
  </w:style>
  <w:style w:type="paragraph" w:customStyle="1" w:styleId="tochead">
    <w:name w:val="toc head"/>
    <w:pPr>
      <w:widowControl w:val="0"/>
      <w:tabs>
        <w:tab w:val="left" w:pos="-720"/>
      </w:tabs>
      <w:suppressAutoHyphens/>
      <w:jc w:val="center"/>
    </w:pPr>
    <w:rPr>
      <w:rFonts w:ascii="Univers" w:hAnsi="Univers"/>
      <w:b/>
      <w:smallCaps/>
      <w:sz w:val="24"/>
    </w:rPr>
  </w:style>
  <w:style w:type="character" w:customStyle="1" w:styleId="Heading">
    <w:name w:val="Heading"/>
    <w:basedOn w:val="DefaultParagraphFont"/>
    <w:rPr>
      <w:rFonts w:ascii="CG Times" w:hAnsi="CG Times"/>
    </w:rPr>
  </w:style>
  <w:style w:type="character" w:customStyle="1" w:styleId="bullets">
    <w:name w:val="bullets"/>
    <w:basedOn w:val="DefaultParagraphFont"/>
    <w:rPr>
      <w:rFonts w:ascii="CG Times" w:hAnsi="CG Times"/>
      <w:noProof w:val="0"/>
      <w:sz w:val="24"/>
      <w:lang w:val="en-US"/>
    </w:rPr>
  </w:style>
  <w:style w:type="paragraph" w:customStyle="1" w:styleId="TOC">
    <w:name w:val="TOC"/>
    <w:pPr>
      <w:widowControl w:val="0"/>
      <w:tabs>
        <w:tab w:val="left" w:pos="-720"/>
      </w:tabs>
      <w:suppressAutoHyphens/>
    </w:pPr>
    <w:rPr>
      <w:rFonts w:ascii="Univers" w:hAnsi="Univers"/>
      <w:smallCaps/>
      <w:sz w:val="24"/>
    </w:rPr>
  </w:style>
  <w:style w:type="paragraph" w:customStyle="1" w:styleId="Moby2">
    <w:name w:val="Moby2"/>
    <w:pPr>
      <w:framePr w:hSpace="187" w:wrap="auto" w:vAnchor="page" w:hAnchor="text" w:y="12241"/>
      <w:widowControl w:val="0"/>
      <w:tabs>
        <w:tab w:val="left" w:pos="-720"/>
      </w:tabs>
      <w:suppressAutoHyphens/>
      <w:ind w:left="2160" w:right="1440"/>
    </w:pPr>
    <w:rPr>
      <w:rFonts w:ascii="Univers" w:hAnsi="Univers"/>
      <w:sz w:val="24"/>
    </w:rPr>
  </w:style>
  <w:style w:type="paragraph" w:customStyle="1" w:styleId="Moby1B">
    <w:name w:val="Moby1B"/>
    <w:pPr>
      <w:widowControl w:val="0"/>
      <w:suppressAutoHyphens/>
    </w:pPr>
    <w:rPr>
      <w:rFonts w:ascii="Univers" w:hAnsi="Univers"/>
      <w:b/>
      <w:sz w:val="48"/>
    </w:rPr>
  </w:style>
  <w:style w:type="paragraph" w:customStyle="1" w:styleId="Moby1A">
    <w:name w:val="Moby1A"/>
    <w:pPr>
      <w:framePr w:wrap="notBeside" w:vAnchor="page" w:hAnchor="page" w:y="3601"/>
      <w:widowControl w:val="0"/>
      <w:suppressAutoHyphens/>
      <w:ind w:left="2160" w:right="1440"/>
    </w:pPr>
    <w:rPr>
      <w:rFonts w:ascii="Univers" w:hAnsi="Univers"/>
      <w:b/>
      <w:sz w:val="28"/>
    </w:rPr>
  </w:style>
  <w:style w:type="character" w:customStyle="1" w:styleId="bullet">
    <w:name w:val="bullet"/>
    <w:basedOn w:val="DefaultParagraphFont"/>
    <w:rPr>
      <w:rFonts w:ascii="CG Times" w:hAnsi="CG Times"/>
      <w:sz w:val="22"/>
    </w:rPr>
  </w:style>
  <w:style w:type="character" w:customStyle="1" w:styleId="EquationCaption">
    <w:name w:val="_Equation Caption"/>
    <w:rPr>
      <w:rFonts w:ascii="CG Times" w:hAnsi="CG Times"/>
    </w:rPr>
  </w:style>
  <w:style w:type="paragraph" w:customStyle="1" w:styleId="BlockQuotation">
    <w:name w:val="Block Quotation"/>
    <w:basedOn w:val="Normal"/>
    <w:pPr>
      <w:keepLines/>
      <w:spacing w:after="60" w:line="220" w:lineRule="atLeast"/>
      <w:ind w:left="1440" w:right="720"/>
    </w:pPr>
    <w:rPr>
      <w:rFonts w:ascii="CG Times" w:hAnsi="CG Times"/>
      <w:i/>
      <w:sz w:val="22"/>
    </w:rPr>
  </w:style>
  <w:style w:type="character" w:customStyle="1" w:styleId="Superscript">
    <w:name w:val="Superscript"/>
    <w:rPr>
      <w:rFonts w:ascii="CG Times" w:hAnsi="CG Times"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CG Times" w:hAnsi="CG Times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ODEQ Item Number B-2</vt:lpstr>
    </vt:vector>
  </TitlesOfParts>
  <Company>Laidlaw Environmental Service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ODEQ Item Number B-2</dc:title>
  <dc:creator>Laidlaw User</dc:creator>
  <cp:lastModifiedBy>Lon R Stewart</cp:lastModifiedBy>
  <cp:revision>2</cp:revision>
  <cp:lastPrinted>2003-03-26T21:23:00Z</cp:lastPrinted>
  <dcterms:created xsi:type="dcterms:W3CDTF">2015-10-20T22:41:00Z</dcterms:created>
  <dcterms:modified xsi:type="dcterms:W3CDTF">2015-10-20T22:41:00Z</dcterms:modified>
</cp:coreProperties>
</file>