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65F1E">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center"/>
        <w:rPr>
          <w:rFonts w:ascii="Times New Roman" w:hAnsi="Times New Roman"/>
          <w:b/>
          <w:spacing w:val="-3"/>
          <w:sz w:val="28"/>
        </w:rPr>
      </w:pPr>
    </w:p>
    <w:p w:rsidR="00000000" w:rsidRDefault="00265F1E">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center"/>
        <w:rPr>
          <w:rFonts w:ascii="Times New Roman" w:hAnsi="Times New Roman"/>
          <w:b/>
          <w:spacing w:val="-3"/>
          <w:sz w:val="28"/>
        </w:rPr>
      </w:pPr>
    </w:p>
    <w:p w:rsidR="00000000" w:rsidRDefault="00265F1E">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center"/>
        <w:rPr>
          <w:rFonts w:ascii="Times New Roman" w:hAnsi="Times New Roman"/>
          <w:b/>
          <w:spacing w:val="-3"/>
          <w:sz w:val="28"/>
        </w:rPr>
      </w:pPr>
    </w:p>
    <w:p w:rsidR="00000000" w:rsidRDefault="00265F1E">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center"/>
        <w:rPr>
          <w:rFonts w:ascii="Times New Roman" w:hAnsi="Times New Roman"/>
          <w:b/>
          <w:spacing w:val="-3"/>
          <w:sz w:val="28"/>
        </w:rPr>
      </w:pPr>
    </w:p>
    <w:p w:rsidR="00000000" w:rsidRDefault="00265F1E">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center"/>
        <w:rPr>
          <w:rFonts w:ascii="Times New Roman" w:hAnsi="Times New Roman"/>
          <w:b/>
          <w:sz w:val="28"/>
        </w:rPr>
      </w:pPr>
      <w:r>
        <w:rPr>
          <w:rFonts w:ascii="Times New Roman" w:hAnsi="Times New Roman"/>
          <w:b/>
          <w:spacing w:val="-3"/>
          <w:sz w:val="28"/>
        </w:rPr>
        <w:t>TULSA DISPOSAL, LLC</w:t>
      </w:r>
    </w:p>
    <w:p w:rsidR="00000000" w:rsidRDefault="00265F1E">
      <w:pPr>
        <w:pStyle w:val="body"/>
        <w:jc w:val="center"/>
        <w:rPr>
          <w:rFonts w:ascii="Times New Roman" w:hAnsi="Times New Roman"/>
          <w:b/>
          <w:sz w:val="28"/>
        </w:rPr>
      </w:pPr>
    </w:p>
    <w:p w:rsidR="00000000" w:rsidRDefault="00265F1E">
      <w:pPr>
        <w:pStyle w:val="body"/>
        <w:jc w:val="center"/>
        <w:rPr>
          <w:rFonts w:ascii="Times New Roman" w:hAnsi="Times New Roman"/>
          <w:b/>
          <w:sz w:val="28"/>
        </w:rPr>
      </w:pPr>
      <w:r>
        <w:rPr>
          <w:rFonts w:ascii="Times New Roman" w:hAnsi="Times New Roman"/>
          <w:b/>
          <w:sz w:val="28"/>
        </w:rPr>
        <w:t>TULSA, OKLAHOMA</w:t>
      </w:r>
    </w:p>
    <w:p w:rsidR="00000000" w:rsidRDefault="00265F1E">
      <w:pPr>
        <w:pStyle w:val="body"/>
        <w:jc w:val="center"/>
        <w:rPr>
          <w:rFonts w:ascii="Times New Roman" w:hAnsi="Times New Roman"/>
          <w:b/>
          <w:sz w:val="28"/>
        </w:rPr>
      </w:pPr>
    </w:p>
    <w:p w:rsidR="00000000" w:rsidRDefault="00265F1E">
      <w:pPr>
        <w:pStyle w:val="body"/>
        <w:jc w:val="center"/>
        <w:rPr>
          <w:rFonts w:ascii="Times New Roman" w:hAnsi="Times New Roman"/>
          <w:b/>
          <w:sz w:val="28"/>
        </w:rPr>
      </w:pPr>
    </w:p>
    <w:p w:rsidR="00000000" w:rsidRDefault="00265F1E">
      <w:pPr>
        <w:pStyle w:val="body"/>
        <w:jc w:val="center"/>
        <w:rPr>
          <w:rFonts w:ascii="Times New Roman" w:hAnsi="Times New Roman"/>
          <w:b/>
          <w:sz w:val="28"/>
        </w:rPr>
      </w:pPr>
    </w:p>
    <w:p w:rsidR="00000000" w:rsidRDefault="00265F1E">
      <w:pPr>
        <w:pStyle w:val="body"/>
        <w:jc w:val="center"/>
        <w:rPr>
          <w:rFonts w:ascii="Times New Roman" w:hAnsi="Times New Roman"/>
          <w:b/>
          <w:sz w:val="28"/>
        </w:rPr>
      </w:pPr>
    </w:p>
    <w:p w:rsidR="00000000" w:rsidRDefault="00265F1E">
      <w:pPr>
        <w:pStyle w:val="body"/>
        <w:jc w:val="center"/>
        <w:rPr>
          <w:rFonts w:ascii="Times New Roman" w:hAnsi="Times New Roman"/>
          <w:b/>
          <w:sz w:val="28"/>
        </w:rPr>
      </w:pPr>
    </w:p>
    <w:p w:rsidR="00000000" w:rsidRDefault="00265F1E">
      <w:pPr>
        <w:pStyle w:val="body"/>
        <w:jc w:val="center"/>
        <w:rPr>
          <w:rFonts w:ascii="Times New Roman" w:hAnsi="Times New Roman"/>
          <w:b/>
          <w:sz w:val="28"/>
        </w:rPr>
      </w:pPr>
      <w:r>
        <w:rPr>
          <w:rFonts w:ascii="Times New Roman" w:hAnsi="Times New Roman"/>
          <w:b/>
          <w:sz w:val="28"/>
        </w:rPr>
        <w:t>TAB XII</w:t>
      </w:r>
    </w:p>
    <w:p w:rsidR="00000000" w:rsidRDefault="00265F1E">
      <w:pPr>
        <w:pStyle w:val="body"/>
        <w:jc w:val="center"/>
        <w:rPr>
          <w:rFonts w:ascii="Times New Roman" w:hAnsi="Times New Roman"/>
          <w:b/>
          <w:sz w:val="28"/>
        </w:rPr>
      </w:pPr>
    </w:p>
    <w:p w:rsidR="00000000" w:rsidRDefault="00265F1E">
      <w:pPr>
        <w:pStyle w:val="body"/>
        <w:jc w:val="center"/>
        <w:rPr>
          <w:rFonts w:ascii="Times New Roman" w:hAnsi="Times New Roman"/>
          <w:b/>
          <w:sz w:val="28"/>
        </w:rPr>
      </w:pPr>
    </w:p>
    <w:p w:rsidR="00000000" w:rsidRDefault="00265F1E">
      <w:pPr>
        <w:pStyle w:val="Heading1"/>
        <w:rPr>
          <w:rFonts w:ascii="Times New Roman" w:hAnsi="Times New Roman"/>
        </w:rPr>
      </w:pPr>
      <w:r>
        <w:rPr>
          <w:rFonts w:ascii="Times New Roman" w:hAnsi="Times New Roman"/>
        </w:rPr>
        <w:t>FINANCIAL ASSURANCE</w:t>
      </w:r>
    </w:p>
    <w:p w:rsidR="00000000" w:rsidRDefault="00265F1E">
      <w:pPr>
        <w:pStyle w:val="tochead"/>
        <w:widowControl/>
        <w:tabs>
          <w:tab w:val="clear" w:pos="-720"/>
        </w:tabs>
        <w:suppressAutoHyphens w:val="0"/>
        <w:rPr>
          <w:rFonts w:ascii="Times New Roman" w:hAnsi="Times New Roman"/>
          <w:b w:val="0"/>
          <w:smallCaps w:val="0"/>
        </w:rPr>
      </w:pPr>
    </w:p>
    <w:p w:rsidR="00000000" w:rsidRDefault="00265F1E">
      <w:pPr>
        <w:pStyle w:val="tochead"/>
        <w:widowControl/>
        <w:tabs>
          <w:tab w:val="clear" w:pos="-720"/>
        </w:tabs>
        <w:suppressAutoHyphens w:val="0"/>
        <w:rPr>
          <w:rFonts w:ascii="Times New Roman" w:hAnsi="Times New Roman"/>
          <w:b w:val="0"/>
          <w:smallCaps w:val="0"/>
        </w:rPr>
      </w:pPr>
      <w:r>
        <w:rPr>
          <w:rFonts w:ascii="Times New Roman" w:hAnsi="Times New Roman"/>
          <w:b w:val="0"/>
          <w:smallCaps w:val="0"/>
        </w:rPr>
        <w:t>In Compliance With</w:t>
      </w:r>
    </w:p>
    <w:p w:rsidR="00000000" w:rsidRDefault="00265F1E">
      <w:pPr>
        <w:jc w:val="center"/>
        <w:rPr>
          <w:sz w:val="24"/>
        </w:rPr>
      </w:pPr>
      <w:r>
        <w:rPr>
          <w:sz w:val="24"/>
        </w:rPr>
        <w:t>40 CFR 270.14(b</w:t>
      </w:r>
      <w:proofErr w:type="gramStart"/>
      <w:r>
        <w:rPr>
          <w:sz w:val="24"/>
        </w:rPr>
        <w:t>)(</w:t>
      </w:r>
      <w:proofErr w:type="gramEnd"/>
      <w:r>
        <w:rPr>
          <w:sz w:val="24"/>
        </w:rPr>
        <w:t>15)</w:t>
      </w:r>
    </w:p>
    <w:p w:rsidR="00000000" w:rsidRDefault="00265F1E">
      <w:pPr>
        <w:pStyle w:val="body"/>
        <w:jc w:val="center"/>
        <w:rPr>
          <w:rFonts w:ascii="Times New Roman" w:hAnsi="Times New Roman"/>
          <w:sz w:val="24"/>
        </w:rPr>
      </w:pPr>
    </w:p>
    <w:p w:rsidR="00000000" w:rsidRDefault="00265F1E">
      <w:pPr>
        <w:pStyle w:val="body"/>
        <w:jc w:val="center"/>
        <w:rPr>
          <w:rFonts w:ascii="Times New Roman" w:hAnsi="Times New Roman"/>
          <w:sz w:val="24"/>
        </w:rPr>
      </w:pPr>
    </w:p>
    <w:p w:rsidR="00000000" w:rsidRDefault="00265F1E">
      <w:pPr>
        <w:pStyle w:val="body"/>
        <w:jc w:val="center"/>
        <w:rPr>
          <w:rFonts w:ascii="Times New Roman" w:hAnsi="Times New Roman"/>
          <w:sz w:val="24"/>
        </w:rPr>
      </w:pPr>
    </w:p>
    <w:p w:rsidR="00000000" w:rsidRDefault="00265F1E">
      <w:pPr>
        <w:pStyle w:val="body"/>
        <w:jc w:val="center"/>
        <w:rPr>
          <w:rFonts w:ascii="Times New Roman" w:hAnsi="Times New Roman"/>
          <w:sz w:val="24"/>
        </w:rPr>
      </w:pPr>
    </w:p>
    <w:p w:rsidR="00000000" w:rsidRDefault="00265F1E">
      <w:pPr>
        <w:pStyle w:val="body"/>
        <w:jc w:val="center"/>
        <w:rPr>
          <w:rFonts w:ascii="Times New Roman" w:hAnsi="Times New Roman"/>
          <w:sz w:val="24"/>
        </w:rPr>
      </w:pPr>
    </w:p>
    <w:p w:rsidR="00000000" w:rsidRDefault="00265F1E">
      <w:pPr>
        <w:pStyle w:val="body"/>
        <w:jc w:val="center"/>
        <w:rPr>
          <w:rFonts w:ascii="Times New Roman" w:hAnsi="Times New Roman"/>
          <w:sz w:val="24"/>
        </w:rPr>
      </w:pPr>
      <w:r>
        <w:rPr>
          <w:rFonts w:ascii="Times New Roman" w:hAnsi="Times New Roman"/>
          <w:sz w:val="24"/>
        </w:rPr>
        <w:t xml:space="preserve">Revised </w:t>
      </w:r>
      <w:r w:rsidR="0061061E">
        <w:rPr>
          <w:rFonts w:ascii="Times New Roman" w:hAnsi="Times New Roman"/>
          <w:sz w:val="24"/>
        </w:rPr>
        <w:t>October 2015</w:t>
      </w:r>
    </w:p>
    <w:p w:rsidR="00000000" w:rsidRDefault="00265F1E">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center"/>
      </w:pPr>
    </w:p>
    <w:p w:rsidR="00000000" w:rsidRDefault="00265F1E">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center"/>
      </w:pPr>
    </w:p>
    <w:p w:rsidR="00000000" w:rsidRDefault="00265F1E">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center"/>
        <w:rPr>
          <w:rFonts w:ascii="Times New Roman" w:hAnsi="Times New Roman"/>
          <w:b/>
          <w:spacing w:val="-2"/>
          <w:sz w:val="24"/>
        </w:rPr>
      </w:pPr>
      <w:r>
        <w:br w:type="page"/>
      </w:r>
      <w:r>
        <w:rPr>
          <w:rFonts w:ascii="Times New Roman" w:hAnsi="Times New Roman"/>
          <w:b/>
          <w:spacing w:val="-2"/>
          <w:sz w:val="24"/>
        </w:rPr>
        <w:lastRenderedPageBreak/>
        <w:t>TABLE OF CONTENTS</w:t>
      </w:r>
    </w:p>
    <w:p w:rsidR="00000000" w:rsidRDefault="00265F1E">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rPr>
          <w:rFonts w:ascii="Times New Roman" w:hAnsi="Times New Roman"/>
          <w:b/>
          <w:spacing w:val="-2"/>
          <w:sz w:val="24"/>
        </w:rPr>
      </w:pPr>
    </w:p>
    <w:p w:rsidR="00000000" w:rsidRDefault="00265F1E">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rPr>
          <w:rFonts w:ascii="Times New Roman" w:hAnsi="Times New Roman"/>
          <w:b/>
          <w:spacing w:val="-2"/>
          <w:sz w:val="24"/>
        </w:rPr>
      </w:pPr>
      <w:r>
        <w:rPr>
          <w:rFonts w:ascii="Times New Roman" w:hAnsi="Times New Roman"/>
          <w:b/>
          <w:spacing w:val="-2"/>
          <w:sz w:val="24"/>
          <w:u w:val="single"/>
        </w:rPr>
        <w:t>Section</w:t>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u w:val="single"/>
        </w:rPr>
        <w:t>Page</w:t>
      </w:r>
    </w:p>
    <w:p w:rsidR="00000000" w:rsidRDefault="00265F1E">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rPr>
          <w:rFonts w:ascii="Times New Roman" w:hAnsi="Times New Roman"/>
          <w:spacing w:val="-2"/>
          <w:sz w:val="24"/>
        </w:rPr>
      </w:pPr>
    </w:p>
    <w:p w:rsidR="00000000" w:rsidRDefault="00265F1E">
      <w:pPr>
        <w:rPr>
          <w:caps/>
          <w:sz w:val="22"/>
        </w:rPr>
      </w:pPr>
      <w:r>
        <w:rPr>
          <w:caps/>
          <w:sz w:val="22"/>
        </w:rPr>
        <w:t>12.1</w:t>
      </w:r>
      <w:r>
        <w:rPr>
          <w:caps/>
          <w:sz w:val="22"/>
        </w:rPr>
        <w:tab/>
        <w:t>Financial Assurance</w:t>
      </w:r>
      <w:r>
        <w:rPr>
          <w:caps/>
          <w:sz w:val="22"/>
        </w:rPr>
        <w:tab/>
      </w:r>
      <w:r>
        <w:rPr>
          <w:caps/>
          <w:sz w:val="22"/>
        </w:rPr>
        <w:tab/>
      </w:r>
      <w:r>
        <w:rPr>
          <w:caps/>
          <w:sz w:val="22"/>
        </w:rPr>
        <w:tab/>
      </w:r>
      <w:r>
        <w:rPr>
          <w:caps/>
          <w:sz w:val="22"/>
        </w:rPr>
        <w:tab/>
      </w:r>
      <w:r>
        <w:rPr>
          <w:caps/>
          <w:sz w:val="22"/>
        </w:rPr>
        <w:tab/>
      </w:r>
      <w:r>
        <w:rPr>
          <w:caps/>
          <w:sz w:val="22"/>
        </w:rPr>
        <w:tab/>
      </w:r>
      <w:r>
        <w:rPr>
          <w:caps/>
          <w:sz w:val="22"/>
        </w:rPr>
        <w:tab/>
      </w:r>
      <w:r>
        <w:rPr>
          <w:caps/>
          <w:sz w:val="22"/>
        </w:rPr>
        <w:tab/>
        <w:t xml:space="preserve">    2</w:t>
      </w:r>
    </w:p>
    <w:p w:rsidR="00000000" w:rsidRDefault="00265F1E">
      <w:pPr>
        <w:rPr>
          <w:caps/>
          <w:sz w:val="22"/>
        </w:rPr>
      </w:pPr>
      <w:r>
        <w:rPr>
          <w:caps/>
          <w:sz w:val="22"/>
        </w:rPr>
        <w:t>12.2</w:t>
      </w:r>
      <w:r>
        <w:rPr>
          <w:caps/>
          <w:sz w:val="22"/>
        </w:rPr>
        <w:tab/>
        <w:t>Insurance</w:t>
      </w:r>
      <w:r>
        <w:rPr>
          <w:caps/>
          <w:sz w:val="22"/>
        </w:rPr>
        <w:tab/>
      </w:r>
      <w:r>
        <w:rPr>
          <w:caps/>
          <w:sz w:val="22"/>
        </w:rPr>
        <w:tab/>
      </w:r>
      <w:r>
        <w:rPr>
          <w:caps/>
          <w:sz w:val="22"/>
        </w:rPr>
        <w:tab/>
      </w:r>
      <w:r>
        <w:rPr>
          <w:caps/>
          <w:sz w:val="22"/>
        </w:rPr>
        <w:tab/>
      </w:r>
      <w:r>
        <w:rPr>
          <w:caps/>
          <w:sz w:val="22"/>
        </w:rPr>
        <w:tab/>
      </w:r>
      <w:r>
        <w:rPr>
          <w:caps/>
          <w:sz w:val="22"/>
        </w:rPr>
        <w:tab/>
      </w:r>
      <w:r>
        <w:rPr>
          <w:caps/>
          <w:sz w:val="22"/>
        </w:rPr>
        <w:tab/>
      </w:r>
      <w:r>
        <w:rPr>
          <w:caps/>
          <w:sz w:val="22"/>
        </w:rPr>
        <w:tab/>
      </w:r>
      <w:r>
        <w:rPr>
          <w:caps/>
          <w:sz w:val="22"/>
        </w:rPr>
        <w:tab/>
      </w:r>
      <w:r>
        <w:rPr>
          <w:caps/>
          <w:sz w:val="22"/>
        </w:rPr>
        <w:tab/>
        <w:t xml:space="preserve">    2</w:t>
      </w:r>
    </w:p>
    <w:p w:rsidR="00000000" w:rsidRDefault="00265F1E">
      <w:pPr>
        <w:rPr>
          <w:sz w:val="22"/>
        </w:rPr>
      </w:pPr>
    </w:p>
    <w:p w:rsidR="00000000" w:rsidRDefault="00265F1E">
      <w:pPr>
        <w:rPr>
          <w:sz w:val="24"/>
        </w:rPr>
      </w:pPr>
    </w:p>
    <w:p w:rsidR="00000000" w:rsidRDefault="00265F1E">
      <w:pPr>
        <w:rPr>
          <w:sz w:val="24"/>
        </w:rPr>
      </w:pPr>
    </w:p>
    <w:p w:rsidR="00000000" w:rsidRDefault="00265F1E">
      <w:pPr>
        <w:pStyle w:val="TOC"/>
        <w:widowControl/>
        <w:tabs>
          <w:tab w:val="clear" w:pos="-720"/>
        </w:tabs>
        <w:suppressAutoHyphens w:val="0"/>
        <w:rPr>
          <w:rFonts w:ascii="Times New Roman" w:hAnsi="Times New Roman"/>
          <w:smallCaps w:val="0"/>
        </w:rPr>
      </w:pPr>
      <w:r>
        <w:rPr>
          <w:rFonts w:ascii="Times New Roman" w:hAnsi="Times New Roman"/>
          <w:smallCaps w:val="0"/>
        </w:rPr>
        <w:br w:type="page"/>
      </w:r>
    </w:p>
    <w:p w:rsidR="00000000" w:rsidRDefault="00265F1E">
      <w:pPr>
        <w:jc w:val="center"/>
        <w:rPr>
          <w:b/>
          <w:sz w:val="24"/>
        </w:rPr>
      </w:pPr>
      <w:r>
        <w:rPr>
          <w:b/>
          <w:sz w:val="24"/>
        </w:rPr>
        <w:t>12.0 - FINANCIAL ASSURANCE</w:t>
      </w:r>
    </w:p>
    <w:p w:rsidR="00000000" w:rsidRDefault="00265F1E">
      <w:pPr>
        <w:pStyle w:val="tochead"/>
        <w:widowControl/>
        <w:tabs>
          <w:tab w:val="clear" w:pos="-720"/>
        </w:tabs>
        <w:suppressAutoHyphens w:val="0"/>
        <w:rPr>
          <w:rFonts w:ascii="Times New Roman" w:hAnsi="Times New Roman"/>
          <w:smallCaps w:val="0"/>
        </w:rPr>
      </w:pPr>
      <w:r>
        <w:rPr>
          <w:rFonts w:ascii="Times New Roman" w:hAnsi="Times New Roman"/>
          <w:smallCaps w:val="0"/>
        </w:rPr>
        <w:t>ODEQ Item Numbers B-15</w:t>
      </w:r>
      <w:proofErr w:type="gramStart"/>
      <w:r>
        <w:rPr>
          <w:rFonts w:ascii="Times New Roman" w:hAnsi="Times New Roman"/>
          <w:smallCaps w:val="0"/>
        </w:rPr>
        <w:t>,  B</w:t>
      </w:r>
      <w:proofErr w:type="gramEnd"/>
      <w:r>
        <w:rPr>
          <w:rFonts w:ascii="Times New Roman" w:hAnsi="Times New Roman"/>
          <w:smallCaps w:val="0"/>
        </w:rPr>
        <w:t>-17</w:t>
      </w:r>
    </w:p>
    <w:p w:rsidR="00000000" w:rsidRDefault="00265F1E">
      <w:pPr>
        <w:jc w:val="center"/>
        <w:rPr>
          <w:b/>
          <w:sz w:val="24"/>
        </w:rPr>
      </w:pPr>
      <w:r>
        <w:rPr>
          <w:b/>
          <w:sz w:val="24"/>
        </w:rPr>
        <w:t>40 CFR 270.14(b</w:t>
      </w:r>
      <w:proofErr w:type="gramStart"/>
      <w:r>
        <w:rPr>
          <w:b/>
          <w:sz w:val="24"/>
        </w:rPr>
        <w:t>)(</w:t>
      </w:r>
      <w:proofErr w:type="gramEnd"/>
      <w:r>
        <w:rPr>
          <w:b/>
          <w:sz w:val="24"/>
        </w:rPr>
        <w:t>15)</w:t>
      </w:r>
    </w:p>
    <w:p w:rsidR="00000000" w:rsidRDefault="00265F1E">
      <w:pPr>
        <w:rPr>
          <w:b/>
          <w:sz w:val="24"/>
        </w:rPr>
      </w:pPr>
    </w:p>
    <w:p w:rsidR="00000000" w:rsidRDefault="00265F1E">
      <w:pPr>
        <w:rPr>
          <w:b/>
          <w:sz w:val="24"/>
        </w:rPr>
      </w:pPr>
    </w:p>
    <w:p w:rsidR="00000000" w:rsidRDefault="00265F1E">
      <w:pPr>
        <w:rPr>
          <w:b/>
          <w:sz w:val="24"/>
        </w:rPr>
      </w:pPr>
    </w:p>
    <w:p w:rsidR="00000000" w:rsidRDefault="00265F1E">
      <w:pPr>
        <w:rPr>
          <w:caps/>
          <w:sz w:val="24"/>
        </w:rPr>
      </w:pPr>
      <w:r>
        <w:rPr>
          <w:b/>
          <w:caps/>
          <w:sz w:val="24"/>
        </w:rPr>
        <w:t>12.1</w:t>
      </w:r>
      <w:r>
        <w:rPr>
          <w:b/>
          <w:caps/>
          <w:sz w:val="24"/>
        </w:rPr>
        <w:tab/>
        <w:t xml:space="preserve">Financial Assurance </w:t>
      </w:r>
    </w:p>
    <w:p w:rsidR="00000000" w:rsidRDefault="00265F1E">
      <w:pPr>
        <w:spacing w:line="300" w:lineRule="auto"/>
        <w:rPr>
          <w:sz w:val="22"/>
        </w:rPr>
      </w:pPr>
    </w:p>
    <w:p w:rsidR="00000000" w:rsidRDefault="00265F1E">
      <w:pPr>
        <w:pStyle w:val="body"/>
        <w:widowControl/>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s>
        <w:suppressAutoHyphens w:val="0"/>
        <w:rPr>
          <w:rFonts w:ascii="Times New Roman" w:hAnsi="Times New Roman"/>
        </w:rPr>
      </w:pPr>
      <w:r>
        <w:t xml:space="preserve">Tulsa Disposal, LLC (the Facility) utilizes a </w:t>
      </w:r>
      <w:r w:rsidR="00AD3C45">
        <w:t xml:space="preserve">Financial Guarantee Bond </w:t>
      </w:r>
      <w:r>
        <w:t>to satisfy regulatory requirements to provide financial assurance for clos</w:t>
      </w:r>
      <w:r>
        <w:t xml:space="preserve">ure of the Facility.  The </w:t>
      </w:r>
      <w:r w:rsidR="00AD3C45">
        <w:t xml:space="preserve">Financial Guarantee Bond </w:t>
      </w:r>
      <w:r>
        <w:t>provides financial assurance for closure, post-closure, and/or corrective action for the facility.  The policy conforms in all respects with the requirements of Oklahoma Administrative Code 252:205 and the</w:t>
      </w:r>
      <w:r>
        <w:t xml:space="preserve"> requirements of 40 CFR 264, Subpart H, to the extent incorporated into such rules.  Copies of the </w:t>
      </w:r>
      <w:r w:rsidR="00AD3C45">
        <w:t xml:space="preserve">Financial Guarantee Bond </w:t>
      </w:r>
      <w:r>
        <w:t>are found in Appendix 3, Attachment 8.  T</w:t>
      </w:r>
      <w:r>
        <w:rPr>
          <w:rFonts w:ascii="Times New Roman" w:hAnsi="Times New Roman"/>
        </w:rPr>
        <w:t>he closure cost estimate is outlined in Appendix 1, Table 3 for the site groundwater and co</w:t>
      </w:r>
      <w:r>
        <w:rPr>
          <w:rFonts w:ascii="Times New Roman" w:hAnsi="Times New Roman"/>
        </w:rPr>
        <w:t xml:space="preserve">rrective measure actions.  </w:t>
      </w:r>
    </w:p>
    <w:p w:rsidR="00000000" w:rsidRDefault="00265F1E">
      <w:pPr>
        <w:pStyle w:val="body"/>
        <w:widowControl/>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s>
        <w:suppressAutoHyphens w:val="0"/>
        <w:rPr>
          <w:rFonts w:ascii="Times New Roman" w:hAnsi="Times New Roman"/>
        </w:rPr>
      </w:pPr>
    </w:p>
    <w:p w:rsidR="00000000" w:rsidRDefault="00265F1E">
      <w:pPr>
        <w:pStyle w:val="body"/>
        <w:widowControl/>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s>
        <w:suppressAutoHyphens w:val="0"/>
        <w:rPr>
          <w:rFonts w:ascii="Times New Roman" w:hAnsi="Times New Roman"/>
        </w:rPr>
      </w:pPr>
      <w:r>
        <w:rPr>
          <w:rFonts w:ascii="Times New Roman" w:hAnsi="Times New Roman"/>
        </w:rPr>
        <w:t xml:space="preserve">All other RCRA units at the facility covered in the Part B permit have been certified clean closed and approved as such in a letter issued by ODEQ on March 17, 1997 (Appendix 3, Attachment 7). </w:t>
      </w:r>
    </w:p>
    <w:p w:rsidR="00000000" w:rsidRDefault="00265F1E">
      <w:pPr>
        <w:pStyle w:val="body"/>
        <w:widowControl/>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s>
        <w:suppressAutoHyphens w:val="0"/>
        <w:rPr>
          <w:rFonts w:ascii="Times New Roman" w:hAnsi="Times New Roman"/>
        </w:rPr>
      </w:pPr>
    </w:p>
    <w:p w:rsidR="00000000" w:rsidRDefault="00265F1E">
      <w:pPr>
        <w:rPr>
          <w:b/>
          <w:caps/>
          <w:sz w:val="24"/>
        </w:rPr>
      </w:pPr>
      <w:r>
        <w:rPr>
          <w:b/>
          <w:caps/>
          <w:sz w:val="24"/>
        </w:rPr>
        <w:t>12.2</w:t>
      </w:r>
      <w:r>
        <w:rPr>
          <w:b/>
          <w:caps/>
          <w:sz w:val="24"/>
        </w:rPr>
        <w:tab/>
        <w:t>Insurance</w:t>
      </w:r>
    </w:p>
    <w:p w:rsidR="00000000" w:rsidRDefault="00265F1E">
      <w:pPr>
        <w:spacing w:line="300" w:lineRule="auto"/>
        <w:rPr>
          <w:sz w:val="22"/>
        </w:rPr>
      </w:pPr>
    </w:p>
    <w:p w:rsidR="00000000" w:rsidRDefault="00265F1E">
      <w:pPr>
        <w:spacing w:line="300" w:lineRule="auto"/>
        <w:rPr>
          <w:sz w:val="22"/>
        </w:rPr>
      </w:pPr>
      <w:r>
        <w:rPr>
          <w:sz w:val="22"/>
        </w:rPr>
        <w:t>The Facility mai</w:t>
      </w:r>
      <w:r>
        <w:rPr>
          <w:sz w:val="22"/>
        </w:rPr>
        <w:t>ntains liability insurance for sudden and non-sudden accidental occurrences as an obligation to demonstrate financial responsibility under the Oklahoma Hazardous Waste Management Act and OAC 252:205 and 40 CFR §264.147.</w:t>
      </w:r>
    </w:p>
    <w:p w:rsidR="00000000" w:rsidRDefault="00265F1E">
      <w:pPr>
        <w:spacing w:line="300" w:lineRule="auto"/>
        <w:rPr>
          <w:sz w:val="22"/>
        </w:rPr>
      </w:pPr>
    </w:p>
    <w:p w:rsidR="00AD3C45" w:rsidRDefault="00AD3C45">
      <w:pPr>
        <w:spacing w:line="300" w:lineRule="auto"/>
        <w:rPr>
          <w:sz w:val="22"/>
        </w:rPr>
      </w:pPr>
      <w:r>
        <w:rPr>
          <w:sz w:val="22"/>
        </w:rPr>
        <w:t xml:space="preserve">Clean Harbors, Inc. has a corporate program to provide insurance needs for its RCRA permitted subsidiaries through a qualified insurance company called Indian Harbor Insurance Company.  All policies are written with Clean Harbors, Inc. as the named insured and the individual subsidiaries are added to the policy by endorsement. </w:t>
      </w:r>
    </w:p>
    <w:p w:rsidR="00AD3C45" w:rsidRDefault="00AD3C45">
      <w:pPr>
        <w:spacing w:line="300" w:lineRule="auto"/>
        <w:rPr>
          <w:sz w:val="22"/>
        </w:rPr>
      </w:pPr>
    </w:p>
    <w:p w:rsidR="00000000" w:rsidRDefault="00265F1E">
      <w:pPr>
        <w:pStyle w:val="body"/>
        <w:widowControl/>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s>
        <w:suppressAutoHyphens w:val="0"/>
        <w:rPr>
          <w:rFonts w:ascii="Times New Roman" w:hAnsi="Times New Roman"/>
        </w:rPr>
      </w:pPr>
      <w:r>
        <w:rPr>
          <w:rFonts w:ascii="Times New Roman" w:hAnsi="Times New Roman"/>
        </w:rPr>
        <w:t>A copy of the insurance certificate</w:t>
      </w:r>
      <w:r>
        <w:rPr>
          <w:rFonts w:ascii="Times New Roman" w:hAnsi="Times New Roman"/>
        </w:rPr>
        <w:t xml:space="preserve"> appears in Appendix 3, Attachment 8.</w:t>
      </w:r>
    </w:p>
    <w:p w:rsidR="00AD3C45" w:rsidRDefault="00AD3C45">
      <w:pPr>
        <w:pStyle w:val="body"/>
        <w:widowControl/>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s>
        <w:suppressAutoHyphens w:val="0"/>
        <w:rPr>
          <w:rFonts w:ascii="Times New Roman" w:hAnsi="Times New Roman"/>
        </w:rPr>
      </w:pPr>
    </w:p>
    <w:p w:rsidR="00AD3C45" w:rsidRDefault="00AD3C45">
      <w:pPr>
        <w:pStyle w:val="body"/>
        <w:widowControl/>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s>
        <w:suppressAutoHyphens w:val="0"/>
        <w:rPr>
          <w:rFonts w:ascii="Times New Roman" w:hAnsi="Times New Roman"/>
        </w:rPr>
      </w:pPr>
    </w:p>
    <w:p w:rsidR="00000000" w:rsidRDefault="00265F1E">
      <w:pPr>
        <w:spacing w:line="300" w:lineRule="auto"/>
        <w:rPr>
          <w:sz w:val="22"/>
        </w:rPr>
      </w:pPr>
    </w:p>
    <w:p w:rsidR="00265F1E" w:rsidRDefault="00265F1E">
      <w:pPr>
        <w:spacing w:line="300" w:lineRule="auto"/>
        <w:rPr>
          <w:sz w:val="22"/>
        </w:rPr>
      </w:pPr>
    </w:p>
    <w:sectPr w:rsidR="00265F1E">
      <w:headerReference w:type="default" r:id="rId7"/>
      <w:footerReference w:type="default" r:id="rId8"/>
      <w:pgSz w:w="12240" w:h="15840"/>
      <w:pgMar w:top="1440" w:right="1080" w:bottom="1440" w:left="1800"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F1E" w:rsidRDefault="00265F1E">
      <w:r>
        <w:separator/>
      </w:r>
    </w:p>
  </w:endnote>
  <w:endnote w:type="continuationSeparator" w:id="0">
    <w:p w:rsidR="00265F1E" w:rsidRDefault="00265F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65F1E">
    <w:pPr>
      <w:pStyle w:val="Footer"/>
      <w:tabs>
        <w:tab w:val="clear" w:pos="4320"/>
        <w:tab w:val="center" w:pos="4680"/>
      </w:tabs>
    </w:pPr>
    <w:r>
      <w:rPr>
        <w:snapToGrid w:val="0"/>
        <w:sz w:val="16"/>
      </w:rPr>
      <w:fldChar w:fldCharType="begin"/>
    </w:r>
    <w:r>
      <w:rPr>
        <w:snapToGrid w:val="0"/>
        <w:sz w:val="16"/>
      </w:rPr>
      <w:instrText xml:space="preserve"> FILENAME </w:instrText>
    </w:r>
    <w:r>
      <w:rPr>
        <w:snapToGrid w:val="0"/>
        <w:sz w:val="16"/>
      </w:rPr>
      <w:fldChar w:fldCharType="separate"/>
    </w:r>
    <w:r w:rsidR="00F40D4B">
      <w:rPr>
        <w:noProof/>
        <w:snapToGrid w:val="0"/>
        <w:sz w:val="16"/>
      </w:rPr>
      <w:t>Tab 12 102215.docx</w:t>
    </w:r>
    <w:r>
      <w:rPr>
        <w:snapToGrid w:val="0"/>
        <w:sz w:val="16"/>
      </w:rPr>
      <w:fldChar w:fldCharType="end"/>
    </w:r>
    <w:r>
      <w:tab/>
      <w:t>Page 12-</w:t>
    </w:r>
    <w:r>
      <w:rPr>
        <w:rStyle w:val="PageNumber"/>
      </w:rPr>
      <w:fldChar w:fldCharType="begin"/>
    </w:r>
    <w:r>
      <w:rPr>
        <w:rStyle w:val="PageNumber"/>
      </w:rPr>
      <w:instrText xml:space="preserve"> PAGE </w:instrText>
    </w:r>
    <w:r>
      <w:rPr>
        <w:rStyle w:val="PageNumber"/>
      </w:rPr>
      <w:fldChar w:fldCharType="separate"/>
    </w:r>
    <w:r w:rsidR="00AD3C45">
      <w:rPr>
        <w:rStyle w:val="PageNumber"/>
        <w:noProof/>
      </w:rPr>
      <w:t>2</w:t>
    </w:r>
    <w:r>
      <w:rPr>
        <w:rStyle w:val="PageNumber"/>
      </w:rPr>
      <w:fldChar w:fldCharType="end"/>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F1E" w:rsidRDefault="00265F1E">
      <w:r>
        <w:separator/>
      </w:r>
    </w:p>
  </w:footnote>
  <w:footnote w:type="continuationSeparator" w:id="0">
    <w:p w:rsidR="00265F1E" w:rsidRDefault="00265F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65F1E">
    <w:pPr>
      <w:pStyle w:val="Header"/>
      <w:tabs>
        <w:tab w:val="clear" w:pos="4320"/>
        <w:tab w:val="clear" w:pos="8640"/>
        <w:tab w:val="center" w:pos="4680"/>
        <w:tab w:val="right" w:pos="9360"/>
      </w:tabs>
      <w:rPr>
        <w:b/>
        <w:smallCaps/>
        <w:color w:val="000000"/>
      </w:rPr>
    </w:pPr>
    <w:r>
      <w:rPr>
        <w:b/>
        <w:smallCaps/>
        <w:color w:val="000000"/>
      </w:rPr>
      <w:t>Tulsa Disposal, LLC</w:t>
    </w:r>
    <w:r>
      <w:rPr>
        <w:b/>
        <w:smallCaps/>
        <w:color w:val="000000"/>
      </w:rPr>
      <w:tab/>
    </w:r>
    <w:r>
      <w:rPr>
        <w:b/>
        <w:smallCaps/>
        <w:color w:val="000000"/>
      </w:rPr>
      <w:tab/>
      <w:t>Tab XII – Financial Assurance</w:t>
    </w:r>
  </w:p>
  <w:p w:rsidR="00000000" w:rsidRDefault="00265F1E">
    <w:pPr>
      <w:pStyle w:val="Header"/>
      <w:tabs>
        <w:tab w:val="clear" w:pos="8640"/>
        <w:tab w:val="right" w:pos="9360"/>
      </w:tabs>
      <w:rPr>
        <w:b/>
        <w:color w:val="000000"/>
      </w:rPr>
    </w:pPr>
    <w:r>
      <w:rPr>
        <w:b/>
        <w:smallCaps/>
        <w:color w:val="000000"/>
      </w:rPr>
      <w:t>RCRA Permit Renewal Application</w:t>
    </w:r>
    <w:r>
      <w:rPr>
        <w:b/>
        <w:color w:val="000000"/>
      </w:rPr>
      <w:tab/>
    </w:r>
    <w:r>
      <w:rPr>
        <w:b/>
        <w:color w:val="000000"/>
      </w:rPr>
      <w:tab/>
      <w:t xml:space="preserve">Revised </w:t>
    </w:r>
    <w:r w:rsidR="0061061E">
      <w:rPr>
        <w:b/>
        <w:color w:val="000000"/>
      </w:rPr>
      <w:t>October 2015</w:t>
    </w:r>
  </w:p>
  <w:p w:rsidR="00000000" w:rsidRDefault="00265F1E">
    <w:pPr>
      <w:pStyle w:val="Header"/>
      <w:tabs>
        <w:tab w:val="clear" w:pos="8640"/>
        <w:tab w:val="right" w:pos="9360"/>
      </w:tabs>
    </w:pPr>
  </w:p>
  <w:p w:rsidR="00000000" w:rsidRDefault="00265F1E">
    <w:pPr>
      <w:pStyle w:val="Header"/>
      <w:tabs>
        <w:tab w:val="clear" w:pos="4320"/>
        <w:tab w:val="clear" w:pos="8640"/>
        <w:tab w:val="center" w:pos="4680"/>
        <w:tab w:val="righ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53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550BF3"/>
    <w:multiLevelType w:val="multilevel"/>
    <w:tmpl w:val="CD92193C"/>
    <w:lvl w:ilvl="0">
      <w:start w:val="12"/>
      <w:numFmt w:val="decimal"/>
      <w:pStyle w:val="Heading2"/>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2A873956"/>
    <w:multiLevelType w:val="singleLevel"/>
    <w:tmpl w:val="3F5AEB6A"/>
    <w:lvl w:ilvl="0">
      <w:start w:val="1"/>
      <w:numFmt w:val="bullet"/>
      <w:lvlText w:val=""/>
      <w:lvlJc w:val="left"/>
      <w:pPr>
        <w:tabs>
          <w:tab w:val="num" w:pos="360"/>
        </w:tabs>
        <w:ind w:left="360" w:hanging="360"/>
      </w:pPr>
      <w:rPr>
        <w:rFonts w:ascii="Symbol" w:hAnsi="Symbol" w:hint="default"/>
      </w:rPr>
    </w:lvl>
  </w:abstractNum>
  <w:abstractNum w:abstractNumId="3">
    <w:nsid w:val="2FF6358C"/>
    <w:multiLevelType w:val="singleLevel"/>
    <w:tmpl w:val="08B8E74C"/>
    <w:lvl w:ilvl="0">
      <w:start w:val="1"/>
      <w:numFmt w:val="decimal"/>
      <w:lvlText w:val="6.3.%1 "/>
      <w:legacy w:legacy="1" w:legacySpace="0" w:legacyIndent="360"/>
      <w:lvlJc w:val="left"/>
      <w:pPr>
        <w:ind w:left="1800" w:hanging="360"/>
      </w:pPr>
      <w:rPr>
        <w:rFonts w:ascii="CG Times (W1)" w:hAnsi="CG Times (W1)" w:hint="default"/>
        <w:b w:val="0"/>
        <w:i w:val="0"/>
        <w:sz w:val="22"/>
        <w:u w:val="none"/>
      </w:rPr>
    </w:lvl>
  </w:abstractNum>
  <w:abstractNum w:abstractNumId="4">
    <w:nsid w:val="5A1945B0"/>
    <w:multiLevelType w:val="multilevel"/>
    <w:tmpl w:val="52D059A4"/>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nsid w:val="5CBC513D"/>
    <w:multiLevelType w:val="multilevel"/>
    <w:tmpl w:val="B8BA4460"/>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498639B"/>
    <w:multiLevelType w:val="multilevel"/>
    <w:tmpl w:val="3C7A90C0"/>
    <w:lvl w:ilvl="0">
      <w:start w:val="1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6AFF1827"/>
    <w:multiLevelType w:val="singleLevel"/>
    <w:tmpl w:val="88780A4A"/>
    <w:lvl w:ilvl="0">
      <w:start w:val="4"/>
      <w:numFmt w:val="decimal"/>
      <w:lvlText w:val="6.%1 "/>
      <w:legacy w:legacy="1" w:legacySpace="0" w:legacyIndent="360"/>
      <w:lvlJc w:val="left"/>
      <w:pPr>
        <w:ind w:left="1080" w:hanging="360"/>
      </w:pPr>
      <w:rPr>
        <w:rFonts w:ascii="CG Times (W1)" w:hAnsi="CG Times (W1)" w:hint="default"/>
        <w:b w:val="0"/>
        <w:i w:val="0"/>
        <w:sz w:val="22"/>
        <w:u w:val="none"/>
      </w:rPr>
    </w:lvl>
  </w:abstractNum>
  <w:abstractNum w:abstractNumId="8">
    <w:nsid w:val="72057BCC"/>
    <w:multiLevelType w:val="multilevel"/>
    <w:tmpl w:val="1542D41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BA3779B"/>
    <w:multiLevelType w:val="singleLevel"/>
    <w:tmpl w:val="8AE6FE1E"/>
    <w:lvl w:ilvl="0">
      <w:numFmt w:val="decimal"/>
      <w:lvlText w:val="6.%1 "/>
      <w:legacy w:legacy="1" w:legacySpace="0" w:legacyIndent="360"/>
      <w:lvlJc w:val="left"/>
      <w:pPr>
        <w:ind w:left="360" w:hanging="360"/>
      </w:pPr>
      <w:rPr>
        <w:rFonts w:ascii="CG Times (W1)" w:hAnsi="CG Times (W1)" w:hint="default"/>
        <w:b w:val="0"/>
        <w:i w:val="0"/>
        <w:sz w:val="22"/>
        <w:u w:val="none"/>
      </w:rPr>
    </w:lvl>
  </w:abstractNum>
  <w:num w:numId="1">
    <w:abstractNumId w:val="9"/>
  </w:num>
  <w:num w:numId="2">
    <w:abstractNumId w:val="9"/>
    <w:lvlOverride w:ilvl="0">
      <w:lvl w:ilvl="0">
        <w:start w:val="1"/>
        <w:numFmt w:val="decimal"/>
        <w:lvlText w:val="6.%1 "/>
        <w:legacy w:legacy="1" w:legacySpace="0" w:legacyIndent="360"/>
        <w:lvlJc w:val="left"/>
        <w:pPr>
          <w:ind w:left="1080" w:hanging="360"/>
        </w:pPr>
        <w:rPr>
          <w:rFonts w:ascii="CG Times (W1)" w:hAnsi="CG Times (W1)" w:hint="default"/>
          <w:b w:val="0"/>
          <w:i w:val="0"/>
          <w:sz w:val="22"/>
          <w:u w:val="none"/>
        </w:rPr>
      </w:lvl>
    </w:lvlOverride>
  </w:num>
  <w:num w:numId="3">
    <w:abstractNumId w:val="3"/>
  </w:num>
  <w:num w:numId="4">
    <w:abstractNumId w:val="7"/>
  </w:num>
  <w:num w:numId="5">
    <w:abstractNumId w:val="7"/>
    <w:lvlOverride w:ilvl="0">
      <w:lvl w:ilvl="0">
        <w:start w:val="1"/>
        <w:numFmt w:val="decimal"/>
        <w:lvlText w:val="6.%1 "/>
        <w:legacy w:legacy="1" w:legacySpace="0" w:legacyIndent="360"/>
        <w:lvlJc w:val="left"/>
        <w:pPr>
          <w:ind w:left="1080" w:hanging="360"/>
        </w:pPr>
        <w:rPr>
          <w:rFonts w:ascii="CG Times (W1)" w:hAnsi="CG Times (W1)" w:hint="default"/>
          <w:b w:val="0"/>
          <w:i w:val="0"/>
          <w:sz w:val="22"/>
          <w:u w:val="none"/>
        </w:rPr>
      </w:lvl>
    </w:lvlOverride>
  </w:num>
  <w:num w:numId="6">
    <w:abstractNumId w:val="4"/>
  </w:num>
  <w:num w:numId="7">
    <w:abstractNumId w:val="8"/>
  </w:num>
  <w:num w:numId="8">
    <w:abstractNumId w:val="6"/>
  </w:num>
  <w:num w:numId="9">
    <w:abstractNumId w:val="0"/>
  </w:num>
  <w:num w:numId="10">
    <w:abstractNumId w:val="1"/>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061E"/>
    <w:rsid w:val="00265F1E"/>
    <w:rsid w:val="0061061E"/>
    <w:rsid w:val="00625016"/>
    <w:rsid w:val="00AD3C45"/>
    <w:rsid w:val="00F40D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CG Times (W1)" w:hAnsi="CG Times (W1)"/>
      <w:b/>
      <w:sz w:val="28"/>
    </w:rPr>
  </w:style>
  <w:style w:type="paragraph" w:styleId="Heading2">
    <w:name w:val="heading 2"/>
    <w:basedOn w:val="Normal"/>
    <w:next w:val="Normal"/>
    <w:qFormat/>
    <w:pPr>
      <w:keepNext/>
      <w:numPr>
        <w:numId w:val="10"/>
      </w:numPr>
      <w:outlineLvl w:val="1"/>
    </w:pPr>
    <w:rPr>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
    <w:name w:val="#B"/>
    <w:basedOn w:val="DefaultParagraphFont"/>
  </w:style>
  <w:style w:type="character" w:customStyle="1" w:styleId="C">
    <w:name w:val="#C"/>
    <w:basedOn w:val="DefaultParagraphFont"/>
  </w:style>
  <w:style w:type="paragraph" w:customStyle="1" w:styleId="body">
    <w:name w:val="body"/>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00" w:lineRule="auto"/>
    </w:pPr>
    <w:rPr>
      <w:rFonts w:ascii="CG Times" w:hAnsi="CG Times"/>
      <w:sz w:val="22"/>
    </w:rPr>
  </w:style>
  <w:style w:type="paragraph" w:customStyle="1" w:styleId="A">
    <w:name w:val="#A"/>
    <w:pPr>
      <w:widowControl w:val="0"/>
      <w:tabs>
        <w:tab w:val="left" w:pos="-720"/>
      </w:tabs>
      <w:suppressAutoHyphens/>
      <w:jc w:val="center"/>
    </w:pPr>
    <w:rPr>
      <w:rFonts w:ascii="Univers" w:hAnsi="Univers"/>
      <w:b/>
      <w:smallCaps/>
      <w:sz w:val="26"/>
    </w:rPr>
  </w:style>
  <w:style w:type="character" w:customStyle="1" w:styleId="D">
    <w:name w:val="#D"/>
    <w:basedOn w:val="DefaultParagraphFont"/>
  </w:style>
  <w:style w:type="paragraph" w:customStyle="1" w:styleId="HeadingBase">
    <w:name w:val="Heading Base"/>
    <w:basedOn w:val="Normal"/>
    <w:next w:val="Normal"/>
    <w:pPr>
      <w:keepNext/>
      <w:keepLines/>
      <w:spacing w:before="140" w:line="220" w:lineRule="atLeast"/>
    </w:pPr>
    <w:rPr>
      <w:rFonts w:ascii="CG Times" w:hAnsi="CG Times"/>
      <w:spacing w:val="-4"/>
      <w:kern w:val="28"/>
      <w:sz w:val="22"/>
    </w:rPr>
  </w:style>
  <w:style w:type="paragraph" w:customStyle="1" w:styleId="HeaderBase">
    <w:name w:val="Header Base"/>
    <w:basedOn w:val="Normal"/>
    <w:pPr>
      <w:keepLines/>
      <w:spacing w:line="300" w:lineRule="auto"/>
    </w:pPr>
    <w:rPr>
      <w:rFonts w:ascii="Univers" w:hAnsi="Univers"/>
      <w:spacing w:val="-4"/>
      <w:sz w:val="22"/>
    </w:rPr>
  </w:style>
  <w:style w:type="paragraph" w:customStyle="1" w:styleId="T2">
    <w:name w:val="T2"/>
    <w:pPr>
      <w:framePr w:hSpace="187" w:wrap="auto" w:vAnchor="page" w:hAnchor="text" w:y="12241"/>
      <w:widowControl w:val="0"/>
      <w:suppressAutoHyphens/>
      <w:ind w:left="1440" w:right="1440"/>
      <w:jc w:val="center"/>
    </w:pPr>
    <w:rPr>
      <w:rFonts w:ascii="Univers" w:hAnsi="Univers"/>
      <w:sz w:val="24"/>
    </w:rPr>
  </w:style>
  <w:style w:type="paragraph" w:customStyle="1" w:styleId="T1">
    <w:name w:val="T1"/>
    <w:pPr>
      <w:framePr w:hSpace="187" w:wrap="notBeside" w:vAnchor="page" w:hAnchor="page" w:xAlign="center" w:y="3601"/>
      <w:widowControl w:val="0"/>
      <w:suppressAutoHyphens/>
      <w:jc w:val="center"/>
    </w:pPr>
    <w:rPr>
      <w:rFonts w:ascii="Univers" w:hAnsi="Univers"/>
      <w:b/>
      <w:smallCaps/>
      <w:sz w:val="28"/>
    </w:rPr>
  </w:style>
  <w:style w:type="paragraph" w:customStyle="1" w:styleId="TOCtext">
    <w:name w:val="TOC text"/>
    <w:pPr>
      <w:widowControl w:val="0"/>
      <w:tabs>
        <w:tab w:val="left" w:pos="-1440"/>
        <w:tab w:val="left" w:pos="-720"/>
        <w:tab w:val="left" w:pos="0"/>
        <w:tab w:val="left" w:pos="720"/>
        <w:tab w:val="left" w:pos="1440"/>
        <w:tab w:val="left" w:pos="2160"/>
        <w:tab w:val="left" w:pos="2880"/>
        <w:tab w:val="right" w:leader="dot" w:pos="8640"/>
      </w:tabs>
      <w:suppressAutoHyphens/>
    </w:pPr>
    <w:rPr>
      <w:rFonts w:ascii="CG Times" w:hAnsi="CG Times"/>
      <w:sz w:val="22"/>
    </w:rPr>
  </w:style>
  <w:style w:type="paragraph" w:customStyle="1" w:styleId="tochead">
    <w:name w:val="toc head"/>
    <w:pPr>
      <w:widowControl w:val="0"/>
      <w:tabs>
        <w:tab w:val="left" w:pos="-720"/>
      </w:tabs>
      <w:suppressAutoHyphens/>
      <w:jc w:val="center"/>
    </w:pPr>
    <w:rPr>
      <w:rFonts w:ascii="Univers" w:hAnsi="Univers"/>
      <w:b/>
      <w:smallCaps/>
      <w:sz w:val="24"/>
    </w:rPr>
  </w:style>
  <w:style w:type="character" w:customStyle="1" w:styleId="Heading">
    <w:name w:val="Heading"/>
    <w:basedOn w:val="DefaultParagraphFont"/>
    <w:rPr>
      <w:rFonts w:ascii="CG Times" w:hAnsi="CG Times"/>
    </w:rPr>
  </w:style>
  <w:style w:type="character" w:customStyle="1" w:styleId="bullets">
    <w:name w:val="bullets"/>
    <w:basedOn w:val="DefaultParagraphFont"/>
    <w:rPr>
      <w:rFonts w:ascii="CG Times" w:hAnsi="CG Times"/>
      <w:noProof w:val="0"/>
      <w:sz w:val="24"/>
      <w:lang w:val="en-US"/>
    </w:rPr>
  </w:style>
  <w:style w:type="paragraph" w:customStyle="1" w:styleId="TOC">
    <w:name w:val="TOC"/>
    <w:pPr>
      <w:widowControl w:val="0"/>
      <w:tabs>
        <w:tab w:val="left" w:pos="-720"/>
      </w:tabs>
      <w:suppressAutoHyphens/>
    </w:pPr>
    <w:rPr>
      <w:rFonts w:ascii="Univers" w:hAnsi="Univers"/>
      <w:smallCaps/>
      <w:sz w:val="24"/>
    </w:rPr>
  </w:style>
  <w:style w:type="paragraph" w:customStyle="1" w:styleId="Moby2">
    <w:name w:val="Moby2"/>
    <w:pPr>
      <w:framePr w:hSpace="187" w:wrap="auto" w:vAnchor="page" w:hAnchor="text" w:y="12241"/>
      <w:widowControl w:val="0"/>
      <w:tabs>
        <w:tab w:val="left" w:pos="-720"/>
      </w:tabs>
      <w:suppressAutoHyphens/>
      <w:ind w:left="2160" w:right="1440"/>
    </w:pPr>
    <w:rPr>
      <w:rFonts w:ascii="Univers" w:hAnsi="Univers"/>
      <w:sz w:val="24"/>
    </w:rPr>
  </w:style>
  <w:style w:type="paragraph" w:customStyle="1" w:styleId="Moby1B">
    <w:name w:val="Moby1B"/>
    <w:pPr>
      <w:widowControl w:val="0"/>
      <w:suppressAutoHyphens/>
    </w:pPr>
    <w:rPr>
      <w:rFonts w:ascii="Univers" w:hAnsi="Univers"/>
      <w:b/>
      <w:sz w:val="48"/>
    </w:rPr>
  </w:style>
  <w:style w:type="paragraph" w:customStyle="1" w:styleId="Moby1A">
    <w:name w:val="Moby1A"/>
    <w:pPr>
      <w:framePr w:wrap="notBeside" w:vAnchor="page" w:hAnchor="page" w:y="3601"/>
      <w:widowControl w:val="0"/>
      <w:suppressAutoHyphens/>
      <w:ind w:left="2160" w:right="1440"/>
    </w:pPr>
    <w:rPr>
      <w:rFonts w:ascii="Univers" w:hAnsi="Univers"/>
      <w:b/>
      <w:sz w:val="28"/>
    </w:rPr>
  </w:style>
  <w:style w:type="character" w:customStyle="1" w:styleId="bullet">
    <w:name w:val="bullet"/>
    <w:basedOn w:val="DefaultParagraphFont"/>
    <w:rPr>
      <w:rFonts w:ascii="CG Times" w:hAnsi="CG Times"/>
      <w:sz w:val="22"/>
    </w:rPr>
  </w:style>
  <w:style w:type="character" w:customStyle="1" w:styleId="EquationCaption">
    <w:name w:val="_Equation Caption"/>
    <w:rPr>
      <w:rFonts w:ascii="CG Times" w:hAnsi="CG Times"/>
    </w:rPr>
  </w:style>
  <w:style w:type="paragraph" w:customStyle="1" w:styleId="BlockQuotation">
    <w:name w:val="Block Quotation"/>
    <w:basedOn w:val="Normal"/>
    <w:pPr>
      <w:keepLines/>
      <w:spacing w:after="60" w:line="220" w:lineRule="atLeast"/>
      <w:ind w:left="1440" w:right="720"/>
    </w:pPr>
    <w:rPr>
      <w:rFonts w:ascii="CG Times" w:hAnsi="CG Times"/>
      <w:i/>
      <w:sz w:val="22"/>
    </w:rPr>
  </w:style>
  <w:style w:type="character" w:customStyle="1" w:styleId="Superscript">
    <w:name w:val="Superscript"/>
    <w:rPr>
      <w:rFonts w:ascii="CG Times" w:hAnsi="CG Times"/>
      <w:vertAlign w:val="superscript"/>
    </w:rPr>
  </w:style>
  <w:style w:type="paragraph" w:customStyle="1" w:styleId="TOCBase">
    <w:name w:val="TOC Base"/>
    <w:basedOn w:val="Normal"/>
    <w:pPr>
      <w:tabs>
        <w:tab w:val="right" w:leader="dot" w:pos="6480"/>
      </w:tabs>
      <w:spacing w:after="220" w:line="220" w:lineRule="atLeast"/>
    </w:pPr>
    <w:rPr>
      <w:rFonts w:ascii="CG Times" w:hAnsi="CG Times"/>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rFonts w:ascii="CG Times (W1)" w:hAnsi="CG Times (W1)"/>
      <w:b/>
      <w:sz w:val="22"/>
    </w:rPr>
  </w:style>
  <w:style w:type="character" w:styleId="PageNumber">
    <w:name w:val="page number"/>
    <w:basedOn w:val="DefaultParagraphFont"/>
    <w:semiHidden/>
  </w:style>
  <w:style w:type="paragraph" w:styleId="BodyText">
    <w:name w:val="Body Text"/>
    <w:basedOn w:val="Normal"/>
    <w:semiHidden/>
    <w:pPr>
      <w:widowControl w:val="0"/>
      <w:tabs>
        <w:tab w:val="left" w:pos="-1440"/>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Pr>
      <w:rFonts w:ascii="Courier New" w:hAnsi="Courier New"/>
      <w:spacing w:val="-3"/>
      <w:sz w:val="24"/>
    </w:rPr>
  </w:style>
  <w:style w:type="paragraph" w:styleId="TOC1">
    <w:name w:val="toc 1"/>
    <w:basedOn w:val="Normal"/>
    <w:next w:val="Normal"/>
    <w:autoRedefine/>
    <w:semiHidden/>
  </w:style>
  <w:style w:type="paragraph" w:styleId="BodyText2">
    <w:name w:val="Body Text 2"/>
    <w:basedOn w:val="Normal"/>
    <w:semiHidden/>
    <w:rPr>
      <w:color w:val="000000"/>
      <w:sz w:val="24"/>
    </w:rPr>
  </w:style>
  <w:style w:type="paragraph" w:styleId="BodyText3">
    <w:name w:val="Body Text 3"/>
    <w:basedOn w:val="Normal"/>
    <w:semiHidden/>
    <w:pPr>
      <w:jc w:val="both"/>
    </w:pPr>
    <w:rPr>
      <w:sz w:val="22"/>
    </w:rPr>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ODEQ Item Number B-2</vt:lpstr>
    </vt:vector>
  </TitlesOfParts>
  <Company>Laidlaw Environmental Service</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ODEQ Item Number B-2</dc:title>
  <dc:creator>Laidlaw User</dc:creator>
  <cp:lastModifiedBy>Lon R Stewart</cp:lastModifiedBy>
  <cp:revision>2</cp:revision>
  <cp:lastPrinted>2003-03-26T21:17:00Z</cp:lastPrinted>
  <dcterms:created xsi:type="dcterms:W3CDTF">2015-10-20T16:55:00Z</dcterms:created>
  <dcterms:modified xsi:type="dcterms:W3CDTF">2015-10-20T16:55:00Z</dcterms:modified>
</cp:coreProperties>
</file>