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6762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846762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846762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846762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846762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000000" w:rsidRDefault="00846762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846762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000000" w:rsidRDefault="00846762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846762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846762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846762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846762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846762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TAB V</w:t>
      </w:r>
    </w:p>
    <w:p w:rsidR="00000000" w:rsidRDefault="00846762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846762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846762">
      <w:pPr>
        <w:pStyle w:val="Heading1"/>
      </w:pPr>
      <w:r>
        <w:t>HAZARDOUS WASTE PERMIT APPLICATION – PART A</w:t>
      </w:r>
    </w:p>
    <w:p w:rsidR="00000000" w:rsidRDefault="00846762">
      <w:pPr>
        <w:pStyle w:val="tochead"/>
        <w:widowControl/>
        <w:tabs>
          <w:tab w:val="clear" w:pos="-720"/>
        </w:tabs>
        <w:suppressAutoHyphens w:val="0"/>
        <w:rPr>
          <w:rFonts w:ascii="CG Times (W1)" w:hAnsi="CG Times (W1)"/>
          <w:b w:val="0"/>
          <w:smallCaps w:val="0"/>
        </w:rPr>
      </w:pPr>
    </w:p>
    <w:p w:rsidR="00000000" w:rsidRDefault="00846762">
      <w:pPr>
        <w:pStyle w:val="tochead"/>
        <w:widowControl/>
        <w:tabs>
          <w:tab w:val="clear" w:pos="-720"/>
        </w:tabs>
        <w:suppressAutoHyphens w:val="0"/>
        <w:rPr>
          <w:rFonts w:ascii="CG Times (W1)" w:hAnsi="CG Times (W1)"/>
          <w:b w:val="0"/>
          <w:smallCaps w:val="0"/>
        </w:rPr>
      </w:pPr>
      <w:r>
        <w:rPr>
          <w:rFonts w:ascii="CG Times (W1)" w:hAnsi="CG Times (W1)"/>
          <w:b w:val="0"/>
          <w:smallCaps w:val="0"/>
        </w:rPr>
        <w:t>In Compliance With</w:t>
      </w:r>
    </w:p>
    <w:p w:rsidR="00000000" w:rsidRDefault="00846762">
      <w:pPr>
        <w:jc w:val="center"/>
        <w:rPr>
          <w:rFonts w:ascii="CG Times (W1)" w:hAnsi="CG Times (W1)"/>
          <w:sz w:val="24"/>
        </w:rPr>
      </w:pPr>
      <w:r>
        <w:rPr>
          <w:rFonts w:ascii="CG Times (W1)" w:hAnsi="CG Times (W1)"/>
          <w:sz w:val="24"/>
        </w:rPr>
        <w:t>40 CFR 270.13</w:t>
      </w:r>
    </w:p>
    <w:p w:rsidR="00000000" w:rsidRDefault="00846762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846762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846762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846762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846762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846762">
      <w:pPr>
        <w:pStyle w:val="bod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Revised October 2015</w:t>
      </w:r>
    </w:p>
    <w:p w:rsidR="00000000" w:rsidRDefault="00846762">
      <w:pPr>
        <w:jc w:val="center"/>
        <w:rPr>
          <w:rFonts w:ascii="CG Times (W1)" w:hAnsi="CG Times (W1)"/>
          <w:sz w:val="24"/>
        </w:rPr>
      </w:pPr>
    </w:p>
    <w:p w:rsidR="00000000" w:rsidRDefault="00846762">
      <w:pPr>
        <w:jc w:val="center"/>
        <w:rPr>
          <w:rFonts w:ascii="CG Times (W1)" w:hAnsi="CG Times (W1)"/>
          <w:sz w:val="24"/>
        </w:rPr>
      </w:pPr>
    </w:p>
    <w:p w:rsidR="00000000" w:rsidRDefault="00846762">
      <w:pPr>
        <w:jc w:val="center"/>
        <w:rPr>
          <w:rFonts w:ascii="CG Times (W1)" w:hAnsi="CG Times (W1)"/>
          <w:sz w:val="24"/>
        </w:rPr>
      </w:pPr>
    </w:p>
    <w:sectPr w:rsidR="00000000">
      <w:headerReference w:type="default" r:id="rId7"/>
      <w:footerReference w:type="default" r:id="rId8"/>
      <w:pgSz w:w="12240" w:h="15840"/>
      <w:pgMar w:top="1440" w:right="108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46762" w:rsidP="00D603F7">
      <w:r>
        <w:separator/>
      </w:r>
    </w:p>
  </w:endnote>
  <w:endnote w:type="continuationSeparator" w:id="0">
    <w:p w:rsidR="00000000" w:rsidRDefault="00846762" w:rsidP="00D60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6762">
    <w:pPr>
      <w:pStyle w:val="Footer"/>
      <w:tabs>
        <w:tab w:val="clear" w:pos="4320"/>
        <w:tab w:val="center" w:pos="4680"/>
      </w:tabs>
    </w:pPr>
    <w:fldSimple w:instr=" FILESIZE  \* MERGEFORMAT ">
      <w:r>
        <w:rPr>
          <w:noProof/>
        </w:rPr>
        <w:t>25600</w:t>
      </w:r>
    </w:fldSimple>
    <w:fldSimple w:instr=" FILENAME  \* MERGEFORMAT ">
      <w:r>
        <w:rPr>
          <w:noProof/>
        </w:rPr>
        <w:t>Tab 05 040403.doc</w:t>
      </w:r>
    </w:fldSimple>
    <w:r>
      <w:tab/>
      <w:t>Page 12-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46762" w:rsidP="00D603F7">
      <w:r>
        <w:separator/>
      </w:r>
    </w:p>
  </w:footnote>
  <w:footnote w:type="continuationSeparator" w:id="0">
    <w:p w:rsidR="00000000" w:rsidRDefault="00846762" w:rsidP="00D60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676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smallCaps/>
        <w:color w:val="000000"/>
      </w:rPr>
    </w:pPr>
    <w:r>
      <w:rPr>
        <w:b/>
        <w:smallCaps/>
        <w:color w:val="000000"/>
      </w:rPr>
      <w:t>Safety-</w:t>
    </w:r>
    <w:proofErr w:type="gramStart"/>
    <w:r>
      <w:rPr>
        <w:b/>
        <w:smallCaps/>
        <w:color w:val="000000"/>
      </w:rPr>
      <w:t>Kleen  (</w:t>
    </w:r>
    <w:proofErr w:type="gramEnd"/>
    <w:r>
      <w:rPr>
        <w:b/>
        <w:smallCaps/>
        <w:color w:val="000000"/>
      </w:rPr>
      <w:t>Tulsa), Inc.</w:t>
    </w:r>
    <w:r>
      <w:rPr>
        <w:b/>
        <w:smallCaps/>
        <w:color w:val="000000"/>
      </w:rPr>
      <w:tab/>
    </w:r>
    <w:r>
      <w:rPr>
        <w:b/>
        <w:smallCaps/>
        <w:color w:val="000000"/>
      </w:rPr>
      <w:tab/>
      <w:t xml:space="preserve">Tab XII – </w:t>
    </w:r>
    <w:proofErr w:type="gramStart"/>
    <w:r>
      <w:rPr>
        <w:b/>
        <w:smallCaps/>
        <w:color w:val="000000"/>
      </w:rPr>
      <w:t>Financial  Assurance</w:t>
    </w:r>
    <w:proofErr w:type="gramEnd"/>
  </w:p>
  <w:p w:rsidR="00000000" w:rsidRDefault="00846762">
    <w:pPr>
      <w:pStyle w:val="Header"/>
      <w:tabs>
        <w:tab w:val="clear" w:pos="8640"/>
        <w:tab w:val="right" w:pos="9360"/>
      </w:tabs>
      <w:rPr>
        <w:b/>
        <w:color w:val="000000"/>
      </w:rPr>
    </w:pPr>
    <w:r>
      <w:rPr>
        <w:b/>
        <w:smallCaps/>
        <w:color w:val="000000"/>
      </w:rPr>
      <w:t>RCRA Permit Renewal Application</w:t>
    </w:r>
    <w:r>
      <w:rPr>
        <w:b/>
        <w:color w:val="000000"/>
      </w:rPr>
      <w:tab/>
    </w:r>
    <w:r>
      <w:rPr>
        <w:b/>
        <w:color w:val="000000"/>
      </w:rPr>
      <w:tab/>
      <w:t>R</w:t>
    </w:r>
    <w:r>
      <w:rPr>
        <w:b/>
        <w:color w:val="000000"/>
      </w:rPr>
      <w:t>evised June 24, 1999</w:t>
    </w:r>
  </w:p>
  <w:p w:rsidR="00000000" w:rsidRDefault="00846762">
    <w:pPr>
      <w:pStyle w:val="Header"/>
      <w:tabs>
        <w:tab w:val="clear" w:pos="8640"/>
        <w:tab w:val="right" w:pos="9360"/>
      </w:tabs>
    </w:pPr>
  </w:p>
  <w:p w:rsidR="00000000" w:rsidRDefault="00846762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50BF3"/>
    <w:multiLevelType w:val="multilevel"/>
    <w:tmpl w:val="18B8B9E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FF6358C"/>
    <w:multiLevelType w:val="singleLevel"/>
    <w:tmpl w:val="08B8E74C"/>
    <w:lvl w:ilvl="0">
      <w:start w:val="1"/>
      <w:numFmt w:val="decimal"/>
      <w:lvlText w:val="6.3.%1 "/>
      <w:legacy w:legacy="1" w:legacySpace="0" w:legacyIndent="360"/>
      <w:lvlJc w:val="left"/>
      <w:pPr>
        <w:ind w:left="180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3">
    <w:nsid w:val="5A1945B0"/>
    <w:multiLevelType w:val="multilevel"/>
    <w:tmpl w:val="52D059A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6498639B"/>
    <w:multiLevelType w:val="multilevel"/>
    <w:tmpl w:val="3C7A90C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6AFF1827"/>
    <w:multiLevelType w:val="singleLevel"/>
    <w:tmpl w:val="88780A4A"/>
    <w:lvl w:ilvl="0">
      <w:start w:val="4"/>
      <w:numFmt w:val="decimal"/>
      <w:lvlText w:val="6.%1 "/>
      <w:legacy w:legacy="1" w:legacySpace="0" w:legacyIndent="360"/>
      <w:lvlJc w:val="left"/>
      <w:pPr>
        <w:ind w:left="108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6">
    <w:nsid w:val="72057BCC"/>
    <w:multiLevelType w:val="multilevel"/>
    <w:tmpl w:val="1542D41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BA3779B"/>
    <w:multiLevelType w:val="singleLevel"/>
    <w:tmpl w:val="8AE6FE1E"/>
    <w:lvl w:ilvl="0"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CG Times (W1)" w:hAnsi="CG Times (W1)" w:hint="default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CG Times (W1)" w:hAnsi="CG Times (W1)" w:hint="default"/>
          <w:b w:val="0"/>
          <w:i w:val="0"/>
          <w:sz w:val="22"/>
          <w:u w:val="none"/>
        </w:rPr>
      </w:lvl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762"/>
    <w:rsid w:val="008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 (W1)" w:hAnsi="CG Times (W1)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#B"/>
    <w:basedOn w:val="DefaultParagraphFont"/>
  </w:style>
  <w:style w:type="character" w:customStyle="1" w:styleId="C">
    <w:name w:val="#C"/>
    <w:basedOn w:val="DefaultParagraphFont"/>
  </w:style>
  <w:style w:type="paragraph" w:customStyle="1" w:styleId="body">
    <w:name w:val="body"/>
    <w:pPr>
      <w:widowControl w:val="0"/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spacing w:line="300" w:lineRule="auto"/>
    </w:pPr>
    <w:rPr>
      <w:rFonts w:ascii="CG Times" w:hAnsi="CG Times"/>
      <w:sz w:val="22"/>
    </w:rPr>
  </w:style>
  <w:style w:type="paragraph" w:customStyle="1" w:styleId="A">
    <w:name w:val="#A"/>
    <w:pPr>
      <w:widowControl w:val="0"/>
      <w:tabs>
        <w:tab w:val="left" w:pos="-720"/>
      </w:tabs>
      <w:suppressAutoHyphens/>
      <w:jc w:val="center"/>
    </w:pPr>
    <w:rPr>
      <w:rFonts w:ascii="Univers" w:hAnsi="Univers"/>
      <w:b/>
      <w:smallCaps/>
      <w:sz w:val="26"/>
    </w:rPr>
  </w:style>
  <w:style w:type="character" w:customStyle="1" w:styleId="D">
    <w:name w:val="#D"/>
    <w:basedOn w:val="DefaultParagraphFont"/>
  </w:style>
  <w:style w:type="paragraph" w:customStyle="1" w:styleId="HeadingBase">
    <w:name w:val="Heading Base"/>
    <w:basedOn w:val="Normal"/>
    <w:next w:val="Normal"/>
    <w:pPr>
      <w:keepNext/>
      <w:keepLines/>
      <w:spacing w:before="140" w:line="220" w:lineRule="atLeast"/>
    </w:pPr>
    <w:rPr>
      <w:rFonts w:ascii="CG Times" w:hAnsi="CG Times"/>
      <w:spacing w:val="-4"/>
      <w:kern w:val="28"/>
      <w:sz w:val="22"/>
    </w:rPr>
  </w:style>
  <w:style w:type="paragraph" w:customStyle="1" w:styleId="HeaderBase">
    <w:name w:val="Header Base"/>
    <w:basedOn w:val="Normal"/>
    <w:pPr>
      <w:keepLines/>
      <w:spacing w:line="300" w:lineRule="auto"/>
    </w:pPr>
    <w:rPr>
      <w:rFonts w:ascii="Univers" w:hAnsi="Univers"/>
      <w:spacing w:val="-4"/>
      <w:sz w:val="22"/>
    </w:rPr>
  </w:style>
  <w:style w:type="paragraph" w:customStyle="1" w:styleId="T2">
    <w:name w:val="T2"/>
    <w:pPr>
      <w:framePr w:hSpace="187" w:wrap="auto" w:vAnchor="page" w:hAnchor="text" w:y="12241"/>
      <w:widowControl w:val="0"/>
      <w:suppressAutoHyphens/>
      <w:ind w:left="1440" w:right="1440"/>
      <w:jc w:val="center"/>
    </w:pPr>
    <w:rPr>
      <w:rFonts w:ascii="Univers" w:hAnsi="Univers"/>
      <w:sz w:val="24"/>
    </w:rPr>
  </w:style>
  <w:style w:type="paragraph" w:customStyle="1" w:styleId="T1">
    <w:name w:val="T1"/>
    <w:pPr>
      <w:framePr w:hSpace="187" w:wrap="notBeside" w:vAnchor="page" w:hAnchor="page" w:xAlign="center" w:y="3601"/>
      <w:widowControl w:val="0"/>
      <w:suppressAutoHyphens/>
      <w:jc w:val="center"/>
    </w:pPr>
    <w:rPr>
      <w:rFonts w:ascii="Univers" w:hAnsi="Univers"/>
      <w:b/>
      <w:smallCaps/>
      <w:sz w:val="28"/>
    </w:rPr>
  </w:style>
  <w:style w:type="paragraph" w:customStyle="1" w:styleId="TOCtext">
    <w:name w:val="TOC text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leader="dot" w:pos="8640"/>
      </w:tabs>
      <w:suppressAutoHyphens/>
    </w:pPr>
    <w:rPr>
      <w:rFonts w:ascii="CG Times" w:hAnsi="CG Times"/>
      <w:sz w:val="22"/>
    </w:rPr>
  </w:style>
  <w:style w:type="paragraph" w:customStyle="1" w:styleId="tochead">
    <w:name w:val="toc head"/>
    <w:pPr>
      <w:widowControl w:val="0"/>
      <w:tabs>
        <w:tab w:val="left" w:pos="-720"/>
      </w:tabs>
      <w:suppressAutoHyphens/>
      <w:jc w:val="center"/>
    </w:pPr>
    <w:rPr>
      <w:rFonts w:ascii="Univers" w:hAnsi="Univers"/>
      <w:b/>
      <w:smallCaps/>
      <w:sz w:val="24"/>
    </w:rPr>
  </w:style>
  <w:style w:type="character" w:customStyle="1" w:styleId="Heading">
    <w:name w:val="Heading"/>
    <w:basedOn w:val="DefaultParagraphFont"/>
    <w:rPr>
      <w:rFonts w:ascii="CG Times" w:hAnsi="CG Times"/>
    </w:rPr>
  </w:style>
  <w:style w:type="character" w:customStyle="1" w:styleId="bullets">
    <w:name w:val="bullets"/>
    <w:basedOn w:val="DefaultParagraphFont"/>
    <w:rPr>
      <w:rFonts w:ascii="CG Times" w:hAnsi="CG Times"/>
      <w:noProof w:val="0"/>
      <w:sz w:val="24"/>
      <w:lang w:val="en-US"/>
    </w:rPr>
  </w:style>
  <w:style w:type="paragraph" w:customStyle="1" w:styleId="TOC">
    <w:name w:val="TOC"/>
    <w:pPr>
      <w:widowControl w:val="0"/>
      <w:tabs>
        <w:tab w:val="left" w:pos="-720"/>
      </w:tabs>
      <w:suppressAutoHyphens/>
    </w:pPr>
    <w:rPr>
      <w:rFonts w:ascii="Univers" w:hAnsi="Univers"/>
      <w:smallCaps/>
      <w:sz w:val="24"/>
    </w:rPr>
  </w:style>
  <w:style w:type="paragraph" w:customStyle="1" w:styleId="Moby2">
    <w:name w:val="Moby2"/>
    <w:pPr>
      <w:framePr w:hSpace="187" w:wrap="auto" w:vAnchor="page" w:hAnchor="text" w:y="12241"/>
      <w:widowControl w:val="0"/>
      <w:tabs>
        <w:tab w:val="left" w:pos="-720"/>
      </w:tabs>
      <w:suppressAutoHyphens/>
      <w:ind w:left="2160" w:right="1440"/>
    </w:pPr>
    <w:rPr>
      <w:rFonts w:ascii="Univers" w:hAnsi="Univers"/>
      <w:sz w:val="24"/>
    </w:rPr>
  </w:style>
  <w:style w:type="paragraph" w:customStyle="1" w:styleId="Moby1B">
    <w:name w:val="Moby1B"/>
    <w:pPr>
      <w:widowControl w:val="0"/>
      <w:suppressAutoHyphens/>
    </w:pPr>
    <w:rPr>
      <w:rFonts w:ascii="Univers" w:hAnsi="Univers"/>
      <w:b/>
      <w:sz w:val="48"/>
    </w:rPr>
  </w:style>
  <w:style w:type="paragraph" w:customStyle="1" w:styleId="Moby1A">
    <w:name w:val="Moby1A"/>
    <w:pPr>
      <w:framePr w:wrap="notBeside" w:vAnchor="page" w:hAnchor="page" w:y="3601"/>
      <w:widowControl w:val="0"/>
      <w:suppressAutoHyphens/>
      <w:ind w:left="2160" w:right="1440"/>
    </w:pPr>
    <w:rPr>
      <w:rFonts w:ascii="Univers" w:hAnsi="Univers"/>
      <w:b/>
      <w:sz w:val="28"/>
    </w:rPr>
  </w:style>
  <w:style w:type="character" w:customStyle="1" w:styleId="bullet">
    <w:name w:val="bullet"/>
    <w:basedOn w:val="DefaultParagraphFont"/>
    <w:rPr>
      <w:rFonts w:ascii="CG Times" w:hAnsi="CG Times"/>
      <w:sz w:val="22"/>
    </w:rPr>
  </w:style>
  <w:style w:type="character" w:customStyle="1" w:styleId="EquationCaption">
    <w:name w:val="_Equation Caption"/>
    <w:rPr>
      <w:rFonts w:ascii="CG Times" w:hAnsi="CG Times"/>
    </w:rPr>
  </w:style>
  <w:style w:type="paragraph" w:customStyle="1" w:styleId="BlockQuotation">
    <w:name w:val="Block Quotation"/>
    <w:basedOn w:val="Normal"/>
    <w:pPr>
      <w:keepLines/>
      <w:spacing w:after="60" w:line="220" w:lineRule="atLeast"/>
      <w:ind w:left="1440" w:right="720"/>
    </w:pPr>
    <w:rPr>
      <w:rFonts w:ascii="CG Times" w:hAnsi="CG Times"/>
      <w:i/>
      <w:sz w:val="22"/>
    </w:rPr>
  </w:style>
  <w:style w:type="character" w:customStyle="1" w:styleId="Superscript">
    <w:name w:val="Superscript"/>
    <w:rPr>
      <w:rFonts w:ascii="CG Times" w:hAnsi="CG Times"/>
      <w:vertAlign w:val="superscript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20" w:line="220" w:lineRule="atLeast"/>
    </w:pPr>
    <w:rPr>
      <w:rFonts w:ascii="CG Times" w:hAnsi="CG 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G Times (W1)" w:hAnsi="CG Times (W1)"/>
      <w:b/>
      <w:sz w:val="22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ODEQ Item Number B-2</vt:lpstr>
    </vt:vector>
  </TitlesOfParts>
  <Company>Laidlaw Environmental Service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ODEQ Item Number B-2</dc:title>
  <dc:creator>Laidlaw User</dc:creator>
  <cp:lastModifiedBy>Lon R Stewart</cp:lastModifiedBy>
  <cp:revision>2</cp:revision>
  <cp:lastPrinted>2003-03-26T17:08:00Z</cp:lastPrinted>
  <dcterms:created xsi:type="dcterms:W3CDTF">2015-10-19T18:15:00Z</dcterms:created>
  <dcterms:modified xsi:type="dcterms:W3CDTF">2015-10-19T18:15:00Z</dcterms:modified>
</cp:coreProperties>
</file>