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B79AB" w14:textId="77777777" w:rsidR="00075AB5" w:rsidRPr="00F70739" w:rsidRDefault="00075AB5">
      <w:pPr>
        <w:widowControl w:val="0"/>
        <w:tabs>
          <w:tab w:val="center" w:pos="4680"/>
        </w:tabs>
        <w:jc w:val="both"/>
        <w:rPr>
          <w:b/>
          <w:color w:val="000000"/>
          <w:szCs w:val="24"/>
        </w:rPr>
      </w:pPr>
      <w:r w:rsidRPr="00F70739">
        <w:rPr>
          <w:color w:val="000000"/>
          <w:szCs w:val="24"/>
        </w:rPr>
        <w:fldChar w:fldCharType="begin"/>
      </w:r>
      <w:r w:rsidRPr="00F70739">
        <w:rPr>
          <w:color w:val="000000"/>
          <w:szCs w:val="24"/>
        </w:rPr>
        <w:instrText xml:space="preserve"> SEQ CHAPTER \h \r 1</w:instrText>
      </w:r>
      <w:r w:rsidRPr="00F70739">
        <w:rPr>
          <w:color w:val="000000"/>
          <w:szCs w:val="24"/>
        </w:rPr>
        <w:fldChar w:fldCharType="end"/>
      </w:r>
      <w:r w:rsidRPr="00F70739">
        <w:rPr>
          <w:color w:val="000000"/>
          <w:szCs w:val="24"/>
        </w:rPr>
        <w:tab/>
      </w:r>
      <w:r w:rsidRPr="00F70739">
        <w:rPr>
          <w:b/>
          <w:color w:val="000000"/>
          <w:szCs w:val="24"/>
        </w:rPr>
        <w:t>TITLE 252.  DEPARTMENT OF ENVIRONMENTAL QUALITY</w:t>
      </w:r>
    </w:p>
    <w:p w14:paraId="35C77508" w14:textId="77777777" w:rsidR="00075AB5" w:rsidRPr="00F70739" w:rsidRDefault="00075AB5">
      <w:pPr>
        <w:widowControl w:val="0"/>
        <w:tabs>
          <w:tab w:val="center" w:pos="4680"/>
        </w:tabs>
        <w:rPr>
          <w:b/>
          <w:color w:val="000000"/>
          <w:szCs w:val="24"/>
        </w:rPr>
      </w:pPr>
      <w:r w:rsidRPr="00F70739">
        <w:rPr>
          <w:b/>
          <w:color w:val="000000"/>
          <w:szCs w:val="24"/>
        </w:rPr>
        <w:tab/>
        <w:t>CHAPTER 205.  HAZARDOUS WASTE MANAGEMENT</w:t>
      </w:r>
    </w:p>
    <w:p w14:paraId="3FE17A90" w14:textId="77777777" w:rsidR="00416943" w:rsidRPr="00F70739" w:rsidRDefault="00416943" w:rsidP="004169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14:paraId="4827CB2A" w14:textId="4ADC8A59" w:rsidR="00075AB5" w:rsidRPr="00F70739" w:rsidRDefault="00075AB5" w:rsidP="0091618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F70739">
        <w:rPr>
          <w:color w:val="000000"/>
          <w:szCs w:val="24"/>
        </w:rPr>
        <w:t xml:space="preserve">Before the Hazardous Waste </w:t>
      </w:r>
      <w:r w:rsidR="00582B97" w:rsidRPr="00F70739">
        <w:rPr>
          <w:color w:val="000000"/>
          <w:szCs w:val="24"/>
        </w:rPr>
        <w:t>M</w:t>
      </w:r>
      <w:r w:rsidR="00943DC5" w:rsidRPr="00F70739">
        <w:rPr>
          <w:color w:val="000000"/>
          <w:szCs w:val="24"/>
        </w:rPr>
        <w:t xml:space="preserve">anagement Advisory Council </w:t>
      </w:r>
      <w:r w:rsidR="006B3A85" w:rsidRPr="00F70739">
        <w:rPr>
          <w:color w:val="000000"/>
          <w:szCs w:val="24"/>
        </w:rPr>
        <w:t xml:space="preserve">October </w:t>
      </w:r>
      <w:r w:rsidR="00F70739" w:rsidRPr="00F70739">
        <w:rPr>
          <w:color w:val="000000"/>
          <w:szCs w:val="24"/>
        </w:rPr>
        <w:t>2</w:t>
      </w:r>
      <w:r w:rsidR="006B3A85" w:rsidRPr="00F70739">
        <w:rPr>
          <w:color w:val="000000"/>
          <w:szCs w:val="24"/>
        </w:rPr>
        <w:t>1, 202</w:t>
      </w:r>
      <w:r w:rsidR="00F70739" w:rsidRPr="00F70739">
        <w:rPr>
          <w:color w:val="000000"/>
          <w:szCs w:val="24"/>
        </w:rPr>
        <w:t>1</w:t>
      </w:r>
    </w:p>
    <w:p w14:paraId="39A9F6D4" w14:textId="33D54EC1" w:rsidR="00075AB5" w:rsidRPr="00F70739" w:rsidRDefault="00075AB5" w:rsidP="0091618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Cs w:val="24"/>
        </w:rPr>
      </w:pPr>
      <w:r w:rsidRPr="00F70739">
        <w:rPr>
          <w:color w:val="000000"/>
          <w:szCs w:val="24"/>
        </w:rPr>
        <w:t>Before the E</w:t>
      </w:r>
      <w:r w:rsidR="00943DC5" w:rsidRPr="00F70739">
        <w:rPr>
          <w:color w:val="000000"/>
          <w:szCs w:val="24"/>
        </w:rPr>
        <w:t xml:space="preserve">nvironmental Quality Board </w:t>
      </w:r>
      <w:r w:rsidR="006B3A85" w:rsidRPr="00F70739">
        <w:rPr>
          <w:color w:val="000000"/>
          <w:szCs w:val="24"/>
        </w:rPr>
        <w:t>February 2021</w:t>
      </w:r>
    </w:p>
    <w:p w14:paraId="486F046C" w14:textId="77777777" w:rsidR="00075AB5" w:rsidRPr="00F70739" w:rsidRDefault="00075AB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Cs w:val="24"/>
        </w:rPr>
      </w:pPr>
    </w:p>
    <w:p w14:paraId="6609822B" w14:textId="502E1A4C" w:rsidR="00075AB5" w:rsidRPr="00F70739" w:rsidRDefault="00075AB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Cs w:val="24"/>
        </w:rPr>
      </w:pPr>
      <w:r w:rsidRPr="00F70739">
        <w:rPr>
          <w:b/>
          <w:color w:val="000000"/>
          <w:szCs w:val="24"/>
        </w:rPr>
        <w:t>RULE IMPACT STATEMENT</w:t>
      </w:r>
    </w:p>
    <w:p w14:paraId="13B3A63C" w14:textId="6DFD105B" w:rsidR="006B3A85" w:rsidRPr="00F70739" w:rsidRDefault="006B3A8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Cs w:val="24"/>
        </w:rPr>
      </w:pPr>
    </w:p>
    <w:p w14:paraId="7452E9A0" w14:textId="77777777" w:rsidR="00F70739" w:rsidRPr="00F70739" w:rsidRDefault="00F70739" w:rsidP="00F7073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jc w:val="both"/>
        <w:rPr>
          <w:szCs w:val="24"/>
        </w:rPr>
      </w:pPr>
      <w:r w:rsidRPr="00F70739">
        <w:rPr>
          <w:b/>
          <w:bCs/>
          <w:szCs w:val="24"/>
        </w:rPr>
        <w:t>PROPOSED RULES:</w:t>
      </w:r>
    </w:p>
    <w:p w14:paraId="2BD9A7A6" w14:textId="77777777" w:rsidR="00F70739" w:rsidRPr="00F70739" w:rsidRDefault="00F70739" w:rsidP="00F7073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jc w:val="both"/>
        <w:rPr>
          <w:szCs w:val="24"/>
        </w:rPr>
      </w:pPr>
      <w:r w:rsidRPr="00F70739">
        <w:rPr>
          <w:szCs w:val="24"/>
        </w:rPr>
        <w:tab/>
        <w:t>Subchapter 3.  Incorporation by Reference</w:t>
      </w:r>
    </w:p>
    <w:p w14:paraId="580153E9" w14:textId="65282918" w:rsidR="00F70739" w:rsidRPr="00F70739" w:rsidRDefault="00F70739" w:rsidP="00F7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jc w:val="both"/>
        <w:rPr>
          <w:szCs w:val="24"/>
        </w:rPr>
      </w:pPr>
      <w:r w:rsidRPr="00F70739">
        <w:rPr>
          <w:szCs w:val="24"/>
        </w:rPr>
        <w:tab/>
      </w:r>
      <w:r w:rsidRPr="00F70739">
        <w:rPr>
          <w:szCs w:val="24"/>
        </w:rPr>
        <w:tab/>
        <w:t xml:space="preserve">252:205-3-1. Reference to 40 CFR [AMENDED] </w:t>
      </w:r>
    </w:p>
    <w:p w14:paraId="45FCEBDC" w14:textId="77777777" w:rsidR="00F70739" w:rsidRPr="00F70739" w:rsidRDefault="00F70739" w:rsidP="00F7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firstLine="360"/>
        <w:jc w:val="both"/>
        <w:rPr>
          <w:szCs w:val="24"/>
        </w:rPr>
      </w:pPr>
      <w:r w:rsidRPr="00F70739">
        <w:rPr>
          <w:szCs w:val="24"/>
        </w:rPr>
        <w:t>Subchapter 5. Additional Generator Requirements</w:t>
      </w:r>
    </w:p>
    <w:p w14:paraId="12F12513" w14:textId="50BD69C4" w:rsidR="00F70739" w:rsidRPr="00F70739" w:rsidRDefault="00F70739" w:rsidP="00F7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firstLine="360"/>
        <w:jc w:val="both"/>
        <w:rPr>
          <w:szCs w:val="24"/>
        </w:rPr>
      </w:pPr>
      <w:r w:rsidRPr="00F70739">
        <w:rPr>
          <w:szCs w:val="24"/>
        </w:rPr>
        <w:tab/>
        <w:t>252:205-5-1. Disposal Plans [REVOKED]</w:t>
      </w:r>
    </w:p>
    <w:p w14:paraId="48280EB0" w14:textId="0D8F5B33" w:rsidR="00F70739" w:rsidRPr="00F70739" w:rsidRDefault="00F70739" w:rsidP="00F7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firstLine="360"/>
        <w:jc w:val="both"/>
        <w:rPr>
          <w:szCs w:val="24"/>
        </w:rPr>
      </w:pPr>
      <w:r w:rsidRPr="00F70739">
        <w:rPr>
          <w:szCs w:val="24"/>
        </w:rPr>
        <w:tab/>
        <w:t>252:205-5-3. Quarterly Reporting Requirements [AMENDED]</w:t>
      </w:r>
    </w:p>
    <w:p w14:paraId="43C84609" w14:textId="77777777" w:rsidR="00F70739" w:rsidRPr="00F70739" w:rsidRDefault="00F70739" w:rsidP="00F7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firstLine="360"/>
        <w:jc w:val="both"/>
        <w:rPr>
          <w:szCs w:val="24"/>
        </w:rPr>
      </w:pPr>
      <w:r w:rsidRPr="00F70739">
        <w:rPr>
          <w:szCs w:val="24"/>
        </w:rPr>
        <w:t>Subchapter 21. Fees</w:t>
      </w:r>
    </w:p>
    <w:p w14:paraId="7533A7C6" w14:textId="4FAA6295" w:rsidR="00F70739" w:rsidRPr="00F70739" w:rsidRDefault="00F70739" w:rsidP="00F7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firstLine="360"/>
        <w:jc w:val="both"/>
        <w:rPr>
          <w:szCs w:val="24"/>
        </w:rPr>
      </w:pPr>
      <w:r w:rsidRPr="00F70739">
        <w:rPr>
          <w:szCs w:val="24"/>
        </w:rPr>
        <w:tab/>
        <w:t>252:205-21-1. General Fee Provisions</w:t>
      </w:r>
      <w:r w:rsidRPr="00F70739">
        <w:rPr>
          <w:color w:val="000000" w:themeColor="text1"/>
          <w:szCs w:val="24"/>
        </w:rPr>
        <w:t xml:space="preserve"> [AMENDED]</w:t>
      </w:r>
    </w:p>
    <w:p w14:paraId="59B85555" w14:textId="5694CAAA" w:rsidR="00F70739" w:rsidRPr="00F70739" w:rsidRDefault="00F70739" w:rsidP="00F7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firstLine="360"/>
        <w:jc w:val="both"/>
        <w:rPr>
          <w:color w:val="000000" w:themeColor="text1"/>
          <w:szCs w:val="24"/>
        </w:rPr>
      </w:pPr>
      <w:r w:rsidRPr="00F70739">
        <w:rPr>
          <w:szCs w:val="24"/>
        </w:rPr>
        <w:tab/>
        <w:t xml:space="preserve">252:205-21-2. Generator Fees </w:t>
      </w:r>
      <w:r w:rsidRPr="00F70739">
        <w:rPr>
          <w:color w:val="000000" w:themeColor="text1"/>
          <w:szCs w:val="24"/>
        </w:rPr>
        <w:t>[AMENDED]</w:t>
      </w:r>
    </w:p>
    <w:p w14:paraId="0FAE8835" w14:textId="252FC21D" w:rsidR="00F70739" w:rsidRPr="00F70739" w:rsidRDefault="00F70739" w:rsidP="00F7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firstLine="360"/>
        <w:jc w:val="both"/>
        <w:rPr>
          <w:rFonts w:eastAsia="PMingLiU"/>
          <w:szCs w:val="24"/>
        </w:rPr>
      </w:pPr>
      <w:r w:rsidRPr="00F70739">
        <w:rPr>
          <w:color w:val="000000" w:themeColor="text1"/>
          <w:szCs w:val="24"/>
        </w:rPr>
        <w:tab/>
        <w:t>252:205-21-4</w:t>
      </w:r>
      <w:r w:rsidRPr="00F70739">
        <w:rPr>
          <w:rFonts w:eastAsia="PMingLiU"/>
          <w:b/>
          <w:bCs/>
          <w:szCs w:val="24"/>
        </w:rPr>
        <w:t xml:space="preserve"> </w:t>
      </w:r>
      <w:r w:rsidRPr="00F70739">
        <w:rPr>
          <w:rFonts w:eastAsia="PMingLiU"/>
          <w:szCs w:val="24"/>
        </w:rPr>
        <w:t>Treatment, storage, off-site recycling, and disposal facility fees</w:t>
      </w:r>
    </w:p>
    <w:p w14:paraId="35AC0311" w14:textId="34368AA8" w:rsidR="00F70739" w:rsidRPr="00F70739" w:rsidRDefault="00F70739" w:rsidP="00F7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exact"/>
        <w:ind w:firstLine="360"/>
        <w:jc w:val="both"/>
        <w:rPr>
          <w:szCs w:val="24"/>
        </w:rPr>
      </w:pPr>
      <w:r w:rsidRPr="00F70739">
        <w:rPr>
          <w:rFonts w:eastAsia="PMingLiU"/>
          <w:szCs w:val="24"/>
        </w:rPr>
        <w:tab/>
        <w:t xml:space="preserve">252:205 APPENDIX C.  ANNUAL FACILITY MONITORING FEES </w:t>
      </w:r>
      <w:r w:rsidRPr="00F70739">
        <w:rPr>
          <w:szCs w:val="24"/>
        </w:rPr>
        <w:t>[AMENDED]</w:t>
      </w:r>
    </w:p>
    <w:p w14:paraId="2069549E" w14:textId="77777777" w:rsidR="006B3A85" w:rsidRPr="00F70739" w:rsidRDefault="006B3A8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58E49E3B" w14:textId="19476702" w:rsidR="00F70739" w:rsidRPr="00F70739" w:rsidRDefault="00075AB5" w:rsidP="00F70739">
      <w:pPr>
        <w:pStyle w:val="NoSpacing"/>
        <w:jc w:val="both"/>
        <w:rPr>
          <w:rFonts w:ascii="Times New Roman" w:hAnsi="Times New Roman" w:cs="Times New Roman"/>
          <w:color w:val="000000"/>
          <w:sz w:val="24"/>
          <w:szCs w:val="24"/>
        </w:rPr>
      </w:pPr>
      <w:r w:rsidRPr="00F70739">
        <w:rPr>
          <w:rFonts w:ascii="Times New Roman" w:hAnsi="Times New Roman" w:cs="Times New Roman"/>
          <w:b/>
          <w:color w:val="000000"/>
          <w:sz w:val="24"/>
          <w:szCs w:val="24"/>
        </w:rPr>
        <w:t>DESCRIPTION:</w:t>
      </w:r>
      <w:r w:rsidR="00B4765C" w:rsidRPr="00F70739">
        <w:rPr>
          <w:rFonts w:ascii="Times New Roman" w:hAnsi="Times New Roman" w:cs="Times New Roman"/>
          <w:b/>
          <w:color w:val="000000"/>
          <w:sz w:val="24"/>
          <w:szCs w:val="24"/>
        </w:rPr>
        <w:t xml:space="preserve">  </w:t>
      </w:r>
      <w:r w:rsidR="009A0882" w:rsidRPr="00F70739">
        <w:rPr>
          <w:rFonts w:ascii="Times New Roman" w:hAnsi="Times New Roman" w:cs="Times New Roman"/>
          <w:color w:val="000000"/>
          <w:sz w:val="24"/>
          <w:szCs w:val="24"/>
        </w:rPr>
        <w:t xml:space="preserve">The </w:t>
      </w:r>
      <w:r w:rsidR="006B3A85" w:rsidRPr="00F70739">
        <w:rPr>
          <w:rFonts w:ascii="Times New Roman" w:hAnsi="Times New Roman" w:cs="Times New Roman"/>
          <w:color w:val="000000"/>
          <w:sz w:val="24"/>
          <w:szCs w:val="24"/>
        </w:rPr>
        <w:t xml:space="preserve">Department is proposing to amend </w:t>
      </w:r>
      <w:r w:rsidR="009A0882" w:rsidRPr="00F70739">
        <w:rPr>
          <w:rFonts w:ascii="Times New Roman" w:hAnsi="Times New Roman" w:cs="Times New Roman"/>
          <w:color w:val="000000"/>
          <w:sz w:val="24"/>
          <w:szCs w:val="24"/>
        </w:rPr>
        <w:t xml:space="preserve">DEQ's hazardous waste rules </w:t>
      </w:r>
      <w:r w:rsidR="006B3A85" w:rsidRPr="00F70739">
        <w:rPr>
          <w:rFonts w:ascii="Times New Roman" w:hAnsi="Times New Roman" w:cs="Times New Roman"/>
          <w:color w:val="000000"/>
          <w:sz w:val="24"/>
          <w:szCs w:val="24"/>
        </w:rPr>
        <w:t xml:space="preserve">to make them </w:t>
      </w:r>
      <w:r w:rsidR="009A0882" w:rsidRPr="00F70739">
        <w:rPr>
          <w:rFonts w:ascii="Times New Roman" w:hAnsi="Times New Roman" w:cs="Times New Roman"/>
          <w:color w:val="000000"/>
          <w:sz w:val="24"/>
          <w:szCs w:val="24"/>
        </w:rPr>
        <w:t>consistent with the federal regulations by incorporating by reference (IBR) the regulations found in 40 CFR Parts 124 and 260-279, revised as of July 1, 202</w:t>
      </w:r>
      <w:r w:rsidR="006668AC">
        <w:rPr>
          <w:rFonts w:ascii="Times New Roman" w:hAnsi="Times New Roman" w:cs="Times New Roman"/>
          <w:color w:val="000000"/>
          <w:sz w:val="24"/>
          <w:szCs w:val="24"/>
        </w:rPr>
        <w:t>1</w:t>
      </w:r>
      <w:r w:rsidR="009A0882" w:rsidRPr="00F70739">
        <w:rPr>
          <w:rFonts w:ascii="Times New Roman" w:hAnsi="Times New Roman" w:cs="Times New Roman"/>
          <w:color w:val="000000"/>
          <w:sz w:val="24"/>
          <w:szCs w:val="24"/>
        </w:rPr>
        <w:t xml:space="preserve">.  </w:t>
      </w:r>
      <w:r w:rsidR="00F70739" w:rsidRPr="00F70739">
        <w:rPr>
          <w:rFonts w:ascii="Times New Roman" w:hAnsi="Times New Roman" w:cs="Times New Roman"/>
          <w:color w:val="000000" w:themeColor="text1"/>
          <w:sz w:val="24"/>
          <w:szCs w:val="24"/>
        </w:rPr>
        <w:t>The significant rule c</w:t>
      </w:r>
      <w:r w:rsidR="00F70739" w:rsidRPr="00F70739">
        <w:rPr>
          <w:rFonts w:ascii="Times New Roman" w:hAnsi="Times New Roman" w:cs="Times New Roman"/>
          <w:sz w:val="24"/>
          <w:szCs w:val="24"/>
        </w:rPr>
        <w:t>hange for this IBR modernizes the rules governing determinations for ignitable liquid hazardous wastes.</w:t>
      </w:r>
      <w:r w:rsidR="00F70739" w:rsidRPr="00F70739">
        <w:rPr>
          <w:rFonts w:ascii="Times New Roman" w:hAnsi="Times New Roman" w:cs="Times New Roman"/>
          <w:color w:val="000000" w:themeColor="text1"/>
          <w:sz w:val="24"/>
          <w:szCs w:val="24"/>
        </w:rPr>
        <w:t xml:space="preserve">  The modification will allow labs testing for the characteristic to use non-mercury thermometers. It finalizes the codification of existing guidance defining “aqueous” as “50% water by weight”. And it corrects cross references to DOT regulations and removes obsolete information. This rulemaking ensures that Oklahoma's hazardous waste rules are at least equivalent to the federal rules, as required to maintain program Authorization. Additionally, statute changes that became effective July 1, 2021 have rendered certain state rules obsolete. Therefore, the DEQ is modifying those state rules that have been affected by the statute changes.</w:t>
      </w:r>
    </w:p>
    <w:p w14:paraId="1901D2C3" w14:textId="55971506" w:rsidR="00416943" w:rsidRPr="00F70739" w:rsidRDefault="00416943">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Cs w:val="24"/>
        </w:rPr>
      </w:pPr>
    </w:p>
    <w:p w14:paraId="75FF454C" w14:textId="0E6E81A8" w:rsidR="009A0882" w:rsidRPr="00F70739" w:rsidRDefault="00075AB5" w:rsidP="009A088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CLASSES OF PERSONS AFFECTED:</w:t>
      </w:r>
      <w:r w:rsidR="00B4765C" w:rsidRPr="00F70739">
        <w:rPr>
          <w:b/>
          <w:color w:val="000000"/>
          <w:szCs w:val="24"/>
        </w:rPr>
        <w:t xml:space="preserve">  </w:t>
      </w:r>
      <w:r w:rsidR="00EB0D7F" w:rsidRPr="00F70739">
        <w:rPr>
          <w:color w:val="000000"/>
          <w:szCs w:val="24"/>
        </w:rPr>
        <w:t>Persons who generate, transport, treat, recycle, or dispose of hazardous waste, unless those persons are households or very small quantity generators</w:t>
      </w:r>
      <w:r w:rsidR="0021697E" w:rsidRPr="00F70739">
        <w:rPr>
          <w:color w:val="000000"/>
          <w:szCs w:val="24"/>
        </w:rPr>
        <w:t>,</w:t>
      </w:r>
      <w:r w:rsidR="00EB0D7F" w:rsidRPr="00F70739">
        <w:rPr>
          <w:color w:val="000000"/>
          <w:szCs w:val="24"/>
        </w:rPr>
        <w:t xml:space="preserve"> will be affected by th</w:t>
      </w:r>
      <w:r w:rsidR="00F70739">
        <w:rPr>
          <w:color w:val="000000"/>
          <w:szCs w:val="24"/>
        </w:rPr>
        <w:t>ese</w:t>
      </w:r>
      <w:r w:rsidR="00EB0D7F" w:rsidRPr="00F70739">
        <w:rPr>
          <w:color w:val="000000"/>
          <w:szCs w:val="24"/>
        </w:rPr>
        <w:t xml:space="preserve"> </w:t>
      </w:r>
      <w:r w:rsidR="00F150AA" w:rsidRPr="00F70739">
        <w:rPr>
          <w:color w:val="000000"/>
          <w:szCs w:val="24"/>
        </w:rPr>
        <w:t xml:space="preserve">proposed </w:t>
      </w:r>
      <w:r w:rsidR="00EB0D7F" w:rsidRPr="00F70739">
        <w:rPr>
          <w:color w:val="000000"/>
          <w:szCs w:val="24"/>
        </w:rPr>
        <w:t>rule</w:t>
      </w:r>
      <w:r w:rsidR="00F70739">
        <w:rPr>
          <w:color w:val="000000"/>
          <w:szCs w:val="24"/>
        </w:rPr>
        <w:t>s</w:t>
      </w:r>
      <w:r w:rsidR="00EB0D7F" w:rsidRPr="00F70739">
        <w:rPr>
          <w:color w:val="000000"/>
          <w:szCs w:val="24"/>
        </w:rPr>
        <w:t>.</w:t>
      </w:r>
    </w:p>
    <w:p w14:paraId="5D12793B" w14:textId="77777777" w:rsidR="00457169" w:rsidRPr="00F70739" w:rsidRDefault="00457169">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28C1B9C1" w14:textId="23451EF1" w:rsidR="00552B45" w:rsidRPr="00F70739" w:rsidRDefault="00075AB5">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CLASSES OF PERSONS WHO WILL BEAR COSTS:</w:t>
      </w:r>
      <w:r w:rsidR="00916184" w:rsidRPr="00F70739">
        <w:rPr>
          <w:b/>
          <w:color w:val="000000"/>
          <w:szCs w:val="24"/>
        </w:rPr>
        <w:t xml:space="preserve">  </w:t>
      </w:r>
      <w:r w:rsidR="00393DA5" w:rsidRPr="00F70739">
        <w:rPr>
          <w:color w:val="000000"/>
          <w:szCs w:val="24"/>
        </w:rPr>
        <w:t xml:space="preserve">Due to the reduced regulatory burden </w:t>
      </w:r>
      <w:r w:rsidR="0021697E" w:rsidRPr="00F70739">
        <w:rPr>
          <w:color w:val="000000"/>
          <w:szCs w:val="24"/>
        </w:rPr>
        <w:t xml:space="preserve">on generators of hazardous waste </w:t>
      </w:r>
      <w:r w:rsidR="00393DA5" w:rsidRPr="00F70739">
        <w:rPr>
          <w:color w:val="000000"/>
          <w:szCs w:val="24"/>
        </w:rPr>
        <w:t>that will result from th</w:t>
      </w:r>
      <w:r w:rsidR="00B85054" w:rsidRPr="00F70739">
        <w:rPr>
          <w:color w:val="000000"/>
          <w:szCs w:val="24"/>
        </w:rPr>
        <w:t>e adoption of th</w:t>
      </w:r>
      <w:r w:rsidR="00F70739">
        <w:rPr>
          <w:color w:val="000000"/>
          <w:szCs w:val="24"/>
        </w:rPr>
        <w:t>ese</w:t>
      </w:r>
      <w:r w:rsidR="00393DA5" w:rsidRPr="00F70739">
        <w:rPr>
          <w:color w:val="000000"/>
          <w:szCs w:val="24"/>
        </w:rPr>
        <w:t xml:space="preserve"> rule</w:t>
      </w:r>
      <w:r w:rsidR="00F70739">
        <w:rPr>
          <w:color w:val="000000"/>
          <w:szCs w:val="24"/>
        </w:rPr>
        <w:t>s</w:t>
      </w:r>
      <w:r w:rsidR="00393DA5" w:rsidRPr="00F70739">
        <w:rPr>
          <w:color w:val="000000"/>
          <w:szCs w:val="24"/>
        </w:rPr>
        <w:t xml:space="preserve">, no </w:t>
      </w:r>
      <w:r w:rsidR="00B85054" w:rsidRPr="00F70739">
        <w:rPr>
          <w:color w:val="000000"/>
          <w:szCs w:val="24"/>
        </w:rPr>
        <w:t>additional costs are anticipated.</w:t>
      </w:r>
      <w:r w:rsidR="00393DA5" w:rsidRPr="00F70739">
        <w:rPr>
          <w:color w:val="000000"/>
          <w:szCs w:val="24"/>
        </w:rPr>
        <w:t xml:space="preserve"> </w:t>
      </w:r>
    </w:p>
    <w:p w14:paraId="2AFFFB7A" w14:textId="77777777" w:rsidR="00757826" w:rsidRPr="00F70739" w:rsidRDefault="00757826">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395F5368" w14:textId="77777777" w:rsidR="00243412" w:rsidRPr="00F70739" w:rsidRDefault="00283A0B" w:rsidP="006003D5">
      <w:pPr>
        <w:tabs>
          <w:tab w:val="left" w:pos="-1200"/>
          <w:tab w:val="left" w:pos="-720"/>
          <w:tab w:val="left" w:pos="0"/>
          <w:tab w:val="left" w:pos="360"/>
          <w:tab w:val="left" w:pos="1440"/>
        </w:tabs>
        <w:autoSpaceDE w:val="0"/>
        <w:autoSpaceDN w:val="0"/>
        <w:adjustRightInd w:val="0"/>
        <w:jc w:val="both"/>
        <w:rPr>
          <w:color w:val="000000"/>
          <w:szCs w:val="24"/>
        </w:rPr>
      </w:pPr>
      <w:r w:rsidRPr="00F70739">
        <w:rPr>
          <w:b/>
          <w:color w:val="000000"/>
          <w:szCs w:val="24"/>
        </w:rPr>
        <w:t xml:space="preserve">INFORMATION ON COST IMPACTS FROM PRIVATE/PUBLIC ENTITIES:  </w:t>
      </w:r>
      <w:r w:rsidR="00B85054" w:rsidRPr="00F70739">
        <w:rPr>
          <w:color w:val="000000"/>
          <w:szCs w:val="24"/>
        </w:rPr>
        <w:t xml:space="preserve">No additional costs to private or public entities are </w:t>
      </w:r>
      <w:r w:rsidR="007B78DF" w:rsidRPr="00F70739">
        <w:rPr>
          <w:color w:val="000000"/>
          <w:szCs w:val="24"/>
        </w:rPr>
        <w:t>expected</w:t>
      </w:r>
      <w:r w:rsidRPr="00F70739">
        <w:rPr>
          <w:color w:val="000000"/>
          <w:szCs w:val="24"/>
        </w:rPr>
        <w:t>.</w:t>
      </w:r>
      <w:r w:rsidR="00075AB5" w:rsidRPr="00F70739">
        <w:rPr>
          <w:color w:val="000000"/>
          <w:szCs w:val="24"/>
        </w:rPr>
        <w:t xml:space="preserve">  </w:t>
      </w:r>
    </w:p>
    <w:p w14:paraId="190F9FB0" w14:textId="77777777" w:rsidR="00756CF7" w:rsidRPr="00F70739" w:rsidRDefault="00756CF7" w:rsidP="0000389F">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highlight w:val="yellow"/>
        </w:rPr>
      </w:pPr>
    </w:p>
    <w:p w14:paraId="076DF3CA" w14:textId="39DC7685" w:rsidR="00B85054" w:rsidRPr="00F70739" w:rsidRDefault="00283A0B" w:rsidP="00AB303C">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CLASSES OF PERSONS BENEFITTED:  </w:t>
      </w:r>
      <w:r w:rsidR="007B78DF" w:rsidRPr="00F70739">
        <w:rPr>
          <w:color w:val="000000"/>
          <w:szCs w:val="24"/>
        </w:rPr>
        <w:t>G</w:t>
      </w:r>
      <w:r w:rsidR="00B85054" w:rsidRPr="00F70739">
        <w:rPr>
          <w:color w:val="000000"/>
          <w:szCs w:val="24"/>
        </w:rPr>
        <w:t>enerators of hazardous waste</w:t>
      </w:r>
      <w:r w:rsidR="007B78DF" w:rsidRPr="00F70739">
        <w:rPr>
          <w:color w:val="000000"/>
          <w:szCs w:val="24"/>
        </w:rPr>
        <w:t xml:space="preserve"> will</w:t>
      </w:r>
      <w:r w:rsidR="00CC241A" w:rsidRPr="00F70739">
        <w:rPr>
          <w:color w:val="000000"/>
          <w:szCs w:val="24"/>
        </w:rPr>
        <w:t xml:space="preserve"> </w:t>
      </w:r>
      <w:r w:rsidR="007B78DF" w:rsidRPr="00F70739">
        <w:rPr>
          <w:color w:val="000000"/>
          <w:szCs w:val="24"/>
        </w:rPr>
        <w:t xml:space="preserve">benefit </w:t>
      </w:r>
      <w:r w:rsidR="00F70739">
        <w:rPr>
          <w:color w:val="000000"/>
          <w:szCs w:val="24"/>
        </w:rPr>
        <w:t>due</w:t>
      </w:r>
      <w:r w:rsidR="007B78DF" w:rsidRPr="00F70739">
        <w:rPr>
          <w:color w:val="000000"/>
          <w:szCs w:val="24"/>
        </w:rPr>
        <w:t xml:space="preserve"> to a</w:t>
      </w:r>
      <w:r w:rsidR="00F70739">
        <w:rPr>
          <w:color w:val="000000"/>
          <w:szCs w:val="24"/>
        </w:rPr>
        <w:t xml:space="preserve"> </w:t>
      </w:r>
      <w:r w:rsidR="00CC241A" w:rsidRPr="00F70739">
        <w:rPr>
          <w:color w:val="000000"/>
          <w:szCs w:val="24"/>
        </w:rPr>
        <w:t>reduction in hazardous was</w:t>
      </w:r>
      <w:r w:rsidR="00F51A5E" w:rsidRPr="00F70739">
        <w:rPr>
          <w:color w:val="000000"/>
          <w:szCs w:val="24"/>
        </w:rPr>
        <w:t>te management</w:t>
      </w:r>
      <w:r w:rsidR="00F70739">
        <w:rPr>
          <w:color w:val="000000"/>
          <w:szCs w:val="24"/>
        </w:rPr>
        <w:t xml:space="preserve"> effort and reporting. Alterations to fees were designed to maintain revenue while reducing the burden on the regulated community.</w:t>
      </w:r>
      <w:r w:rsidR="00CC241A" w:rsidRPr="00F70739">
        <w:rPr>
          <w:color w:val="000000"/>
          <w:szCs w:val="24"/>
        </w:rPr>
        <w:t xml:space="preserve">  </w:t>
      </w:r>
      <w:r w:rsidR="00F70739">
        <w:rPr>
          <w:color w:val="000000"/>
          <w:szCs w:val="24"/>
        </w:rPr>
        <w:t>Generators of ignitable hazardous wastes should derive benefit from the additional flexibility.</w:t>
      </w:r>
    </w:p>
    <w:p w14:paraId="202E3F7C" w14:textId="77777777" w:rsidR="00B85054" w:rsidRPr="00F70739" w:rsidRDefault="00B85054" w:rsidP="00AB303C">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FF0000"/>
          <w:szCs w:val="24"/>
        </w:rPr>
      </w:pPr>
    </w:p>
    <w:p w14:paraId="29464D3E" w14:textId="2385DAA8" w:rsidR="005319A2" w:rsidRPr="00F70739" w:rsidRDefault="00283A0B" w:rsidP="00E67A49">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PROBABLE ECONOMIC IMPACT ON AFFECTED CLASSES OF PERSONS:  </w:t>
      </w:r>
      <w:r w:rsidR="00E67A49" w:rsidRPr="00F70739">
        <w:rPr>
          <w:color w:val="000000"/>
          <w:szCs w:val="24"/>
        </w:rPr>
        <w:lastRenderedPageBreak/>
        <w:t>Generators who</w:t>
      </w:r>
      <w:r w:rsidR="00F70739">
        <w:rPr>
          <w:color w:val="000000"/>
          <w:szCs w:val="24"/>
        </w:rPr>
        <w:t xml:space="preserve"> </w:t>
      </w:r>
      <w:r w:rsidR="00E67A49" w:rsidRPr="00F70739">
        <w:rPr>
          <w:color w:val="000000"/>
          <w:szCs w:val="24"/>
        </w:rPr>
        <w:t>manage</w:t>
      </w:r>
      <w:r w:rsidR="00F70739">
        <w:rPr>
          <w:color w:val="000000"/>
          <w:szCs w:val="24"/>
        </w:rPr>
        <w:t xml:space="preserve"> </w:t>
      </w:r>
      <w:r w:rsidR="00DB0803">
        <w:rPr>
          <w:color w:val="000000"/>
          <w:szCs w:val="24"/>
        </w:rPr>
        <w:t>ignitable</w:t>
      </w:r>
      <w:r w:rsidR="00E67A49" w:rsidRPr="00F70739">
        <w:rPr>
          <w:color w:val="000000"/>
          <w:szCs w:val="24"/>
        </w:rPr>
        <w:t xml:space="preserve"> hazardous waste are expected to benefit from this proposed rule.</w:t>
      </w:r>
      <w:r w:rsidR="00DB0803">
        <w:rPr>
          <w:color w:val="000000"/>
          <w:szCs w:val="24"/>
        </w:rPr>
        <w:t xml:space="preserve"> Generators that previously paid a disposal plan fee or submitted quarterly reports are expected to benefit.</w:t>
      </w:r>
      <w:r w:rsidR="00E67A49" w:rsidRPr="00F70739">
        <w:rPr>
          <w:color w:val="000000"/>
          <w:szCs w:val="24"/>
        </w:rPr>
        <w:t xml:space="preserve">  </w:t>
      </w:r>
      <w:r w:rsidR="005319A2" w:rsidRPr="00F70739">
        <w:rPr>
          <w:color w:val="000000"/>
          <w:szCs w:val="24"/>
        </w:rPr>
        <w:t xml:space="preserve">All other classes of affected persons are projected to experience no economic impact. </w:t>
      </w:r>
    </w:p>
    <w:p w14:paraId="090E0B29" w14:textId="77777777" w:rsidR="00075AB5" w:rsidRPr="00F70739" w:rsidRDefault="00075AB5">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r w:rsidRPr="00F70739">
        <w:rPr>
          <w:color w:val="FF0000"/>
          <w:szCs w:val="24"/>
        </w:rPr>
        <w:t xml:space="preserve">   </w:t>
      </w:r>
    </w:p>
    <w:p w14:paraId="7ACEC9E1" w14:textId="52F0C966" w:rsidR="007B78DF" w:rsidRPr="00F70739" w:rsidRDefault="00283A0B" w:rsidP="00622677">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PROBABLE ECONOMIC IMPACT ON POLITICAL SUBDIVISIONS:  </w:t>
      </w:r>
      <w:r w:rsidR="00DB0803">
        <w:rPr>
          <w:bCs/>
          <w:color w:val="000000"/>
          <w:szCs w:val="24"/>
        </w:rPr>
        <w:t xml:space="preserve">No impact on </w:t>
      </w:r>
      <w:r w:rsidR="007B78DF" w:rsidRPr="00F70739">
        <w:rPr>
          <w:color w:val="000000"/>
          <w:szCs w:val="24"/>
        </w:rPr>
        <w:t>political subdivisions</w:t>
      </w:r>
      <w:r w:rsidR="00DB0803">
        <w:rPr>
          <w:color w:val="000000"/>
          <w:szCs w:val="24"/>
        </w:rPr>
        <w:t xml:space="preserve"> is anticipated</w:t>
      </w:r>
      <w:r w:rsidR="007B78DF" w:rsidRPr="00F70739">
        <w:rPr>
          <w:color w:val="000000"/>
          <w:szCs w:val="24"/>
        </w:rPr>
        <w:t>.</w:t>
      </w:r>
    </w:p>
    <w:p w14:paraId="6A23C076" w14:textId="77777777" w:rsidR="00622677" w:rsidRPr="00F70739" w:rsidRDefault="00622677" w:rsidP="00622677">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789B554B" w14:textId="6899DDD6" w:rsidR="006C32ED" w:rsidRPr="00F70739" w:rsidRDefault="00283A0B">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POTENTIAL ADVERSE EFFECTS ON SMALL BUSINESSES:  </w:t>
      </w:r>
      <w:r w:rsidR="006C32ED" w:rsidRPr="00F70739">
        <w:rPr>
          <w:color w:val="000000"/>
          <w:szCs w:val="24"/>
        </w:rPr>
        <w:t>Small businesses are expected to benefit from th</w:t>
      </w:r>
      <w:r w:rsidR="00DB0803">
        <w:rPr>
          <w:color w:val="000000"/>
          <w:szCs w:val="24"/>
        </w:rPr>
        <w:t>ese</w:t>
      </w:r>
      <w:r w:rsidR="006C32ED" w:rsidRPr="00F70739">
        <w:rPr>
          <w:color w:val="000000"/>
          <w:szCs w:val="24"/>
        </w:rPr>
        <w:t xml:space="preserve"> proposed rule</w:t>
      </w:r>
      <w:r w:rsidR="00DB0803">
        <w:rPr>
          <w:color w:val="000000"/>
          <w:szCs w:val="24"/>
        </w:rPr>
        <w:t>s</w:t>
      </w:r>
      <w:r w:rsidR="006C32ED" w:rsidRPr="00F70739">
        <w:rPr>
          <w:color w:val="000000"/>
          <w:szCs w:val="24"/>
        </w:rPr>
        <w:t xml:space="preserve"> and, therefore, no adverse effects are anticipated.</w:t>
      </w:r>
    </w:p>
    <w:p w14:paraId="7A2403B2" w14:textId="77777777" w:rsidR="006C32ED" w:rsidRPr="00F70739" w:rsidRDefault="006C32ED">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FF0000"/>
          <w:szCs w:val="24"/>
        </w:rPr>
      </w:pPr>
    </w:p>
    <w:p w14:paraId="2DA92D8C" w14:textId="77777777" w:rsidR="00DB0803" w:rsidRDefault="00283A0B" w:rsidP="001524E9">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LISTING OF ALL FEE CHANGES, INCLUDING A SEPARATE JUSTIFICATION FOR EACH FEE CHANGE: </w:t>
      </w:r>
    </w:p>
    <w:p w14:paraId="0E1757FE" w14:textId="423989F8" w:rsidR="00DB0803" w:rsidRPr="00DB0803" w:rsidRDefault="00DB0803" w:rsidP="00DB0803">
      <w:pPr>
        <w:pStyle w:val="ListParagraph"/>
        <w:widowControl w:val="0"/>
        <w:numPr>
          <w:ilvl w:val="0"/>
          <w:numId w:val="6"/>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DB0803">
        <w:rPr>
          <w:color w:val="000000"/>
          <w:szCs w:val="24"/>
        </w:rPr>
        <w:t>Per ton disposal fee changed from $9/ton to $9.50/ton.</w:t>
      </w:r>
    </w:p>
    <w:p w14:paraId="52AEC1C4" w14:textId="3D6FF7CF" w:rsidR="00BE18E5" w:rsidRDefault="00DB0803" w:rsidP="00DB0803">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color w:val="000000"/>
          <w:szCs w:val="24"/>
        </w:rPr>
      </w:pPr>
      <w:r w:rsidRPr="00BD1BCA">
        <w:rPr>
          <w:b/>
          <w:bCs/>
          <w:color w:val="000000"/>
          <w:szCs w:val="24"/>
        </w:rPr>
        <w:t>Justification:</w:t>
      </w:r>
      <w:r>
        <w:rPr>
          <w:color w:val="000000"/>
          <w:szCs w:val="24"/>
        </w:rPr>
        <w:t xml:space="preserve">  this fee was changed at the statutory level. The reference in the state rules in Appendix C is being changed to conform with the statute.</w:t>
      </w:r>
      <w:r w:rsidR="00B34437" w:rsidRPr="00F70739">
        <w:rPr>
          <w:color w:val="000000"/>
          <w:szCs w:val="24"/>
        </w:rPr>
        <w:t xml:space="preserve"> </w:t>
      </w:r>
    </w:p>
    <w:p w14:paraId="0B828FC7" w14:textId="0DA5997F" w:rsidR="00DB0803" w:rsidRDefault="00DB0803" w:rsidP="00DB0803">
      <w:pPr>
        <w:pStyle w:val="ListParagraph"/>
        <w:widowControl w:val="0"/>
        <w:numPr>
          <w:ilvl w:val="0"/>
          <w:numId w:val="6"/>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Disposal Plan fee removed.</w:t>
      </w:r>
    </w:p>
    <w:p w14:paraId="24FE4D51" w14:textId="11BAD7F2" w:rsidR="00DB0803" w:rsidRDefault="00DB0803" w:rsidP="00DB0803">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color w:val="000000"/>
          <w:szCs w:val="24"/>
        </w:rPr>
      </w:pPr>
      <w:r w:rsidRPr="00BD1BCA">
        <w:rPr>
          <w:b/>
          <w:bCs/>
          <w:color w:val="000000"/>
          <w:szCs w:val="24"/>
        </w:rPr>
        <w:t>Justification:</w:t>
      </w:r>
      <w:r>
        <w:rPr>
          <w:color w:val="000000"/>
          <w:szCs w:val="24"/>
        </w:rPr>
        <w:t xml:space="preserve">  this fee was removed at the statutory level and therefore must be removed at the rule level to ensure equivalency with statutes.</w:t>
      </w:r>
    </w:p>
    <w:p w14:paraId="47FB2280" w14:textId="2A1E1CEB" w:rsidR="00DB0803" w:rsidRDefault="00DB0803" w:rsidP="00DB0803">
      <w:pPr>
        <w:pStyle w:val="ListParagraph"/>
        <w:widowControl w:val="0"/>
        <w:numPr>
          <w:ilvl w:val="0"/>
          <w:numId w:val="6"/>
        </w:num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Pr>
          <w:color w:val="000000"/>
          <w:szCs w:val="24"/>
        </w:rPr>
        <w:t>LQG Monitoring fee range changed to $300-$2000 by statute.</w:t>
      </w:r>
    </w:p>
    <w:p w14:paraId="60483770" w14:textId="0A07C1F8" w:rsidR="00DB0803" w:rsidRPr="00DB0803" w:rsidRDefault="00DB0803" w:rsidP="00DB0803">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color w:val="000000"/>
          <w:szCs w:val="24"/>
        </w:rPr>
      </w:pPr>
      <w:r w:rsidRPr="00BD1BCA">
        <w:rPr>
          <w:b/>
          <w:bCs/>
          <w:color w:val="000000"/>
          <w:szCs w:val="24"/>
        </w:rPr>
        <w:t>Justification:</w:t>
      </w:r>
      <w:r>
        <w:rPr>
          <w:color w:val="000000"/>
          <w:szCs w:val="24"/>
        </w:rPr>
        <w:t xml:space="preserve">  this fee was changed at the statutory level. The floor was </w:t>
      </w:r>
      <w:r w:rsidR="00BD1BCA">
        <w:rPr>
          <w:color w:val="000000"/>
          <w:szCs w:val="24"/>
        </w:rPr>
        <w:t>raised,</w:t>
      </w:r>
      <w:r>
        <w:rPr>
          <w:color w:val="000000"/>
          <w:szCs w:val="24"/>
        </w:rPr>
        <w:t xml:space="preserve"> and the ceiling was lowered. </w:t>
      </w:r>
      <w:r w:rsidR="00BD1BCA">
        <w:rPr>
          <w:color w:val="000000"/>
          <w:szCs w:val="24"/>
        </w:rPr>
        <w:t>Therefore,</w:t>
      </w:r>
      <w:r>
        <w:rPr>
          <w:color w:val="000000"/>
          <w:szCs w:val="24"/>
        </w:rPr>
        <w:t xml:space="preserve"> the corresponding state rule must be changed to conform with the statute.</w:t>
      </w:r>
    </w:p>
    <w:p w14:paraId="154C7105" w14:textId="77777777" w:rsidR="00150C47" w:rsidRPr="00F70739" w:rsidRDefault="00150C47">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3098871D" w14:textId="77777777" w:rsidR="00075AB5"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PROBABLE COSTS AND BENEFITS TO DEQ TO IMPLEMENT AND ENFORCE:  </w:t>
      </w:r>
      <w:r w:rsidRPr="00F70739">
        <w:rPr>
          <w:color w:val="000000"/>
          <w:szCs w:val="24"/>
        </w:rPr>
        <w:t>No increase in DEQ funding is necessary to implement this rulemaking.</w:t>
      </w:r>
      <w:r w:rsidR="00075AB5" w:rsidRPr="00F70739">
        <w:rPr>
          <w:color w:val="000000"/>
          <w:szCs w:val="24"/>
        </w:rPr>
        <w:t xml:space="preserve">  </w:t>
      </w:r>
    </w:p>
    <w:p w14:paraId="66842326" w14:textId="77777777" w:rsidR="006A244E" w:rsidRPr="00F70739" w:rsidRDefault="006A244E">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76454ACF" w14:textId="6AF7C7A9" w:rsidR="001524E9"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PROBABLE COSTS AND BENEFITS TO OTHER AGENCIES TO IMPLEMENT AND ENFORCE:  </w:t>
      </w:r>
      <w:r w:rsidR="006C32ED" w:rsidRPr="00F70739">
        <w:rPr>
          <w:color w:val="000000"/>
          <w:szCs w:val="24"/>
        </w:rPr>
        <w:t>No other agencies will be involved in th</w:t>
      </w:r>
      <w:r w:rsidR="00BD1BCA">
        <w:rPr>
          <w:color w:val="000000"/>
          <w:szCs w:val="24"/>
        </w:rPr>
        <w:t>ese</w:t>
      </w:r>
      <w:r w:rsidR="006C32ED" w:rsidRPr="00F70739">
        <w:rPr>
          <w:color w:val="000000"/>
          <w:szCs w:val="24"/>
        </w:rPr>
        <w:t xml:space="preserve"> proposed rule</w:t>
      </w:r>
      <w:r w:rsidR="00BD1BCA">
        <w:rPr>
          <w:color w:val="000000"/>
          <w:szCs w:val="24"/>
        </w:rPr>
        <w:t>s</w:t>
      </w:r>
      <w:r w:rsidR="006C32ED" w:rsidRPr="00F70739">
        <w:rPr>
          <w:color w:val="000000"/>
          <w:szCs w:val="24"/>
        </w:rPr>
        <w:t xml:space="preserve">.  Entities within </w:t>
      </w:r>
      <w:r w:rsidR="004E6EB2" w:rsidRPr="00F70739">
        <w:rPr>
          <w:color w:val="000000"/>
          <w:szCs w:val="24"/>
        </w:rPr>
        <w:t>agencies</w:t>
      </w:r>
      <w:r w:rsidR="006C32ED" w:rsidRPr="00F70739">
        <w:rPr>
          <w:color w:val="000000"/>
          <w:szCs w:val="24"/>
        </w:rPr>
        <w:t xml:space="preserve"> that generate hazardous waste</w:t>
      </w:r>
      <w:r w:rsidR="00BD1BCA">
        <w:rPr>
          <w:color w:val="000000"/>
          <w:szCs w:val="24"/>
        </w:rPr>
        <w:t>s</w:t>
      </w:r>
      <w:r w:rsidR="006C32ED" w:rsidRPr="00F70739">
        <w:rPr>
          <w:color w:val="000000"/>
          <w:szCs w:val="24"/>
        </w:rPr>
        <w:t xml:space="preserve"> (such as building and vehicle maintenance departments) will benefit from this rulemaking.</w:t>
      </w:r>
    </w:p>
    <w:p w14:paraId="5B53D784" w14:textId="77777777" w:rsidR="00075AB5" w:rsidRPr="00F70739" w:rsidRDefault="00075AB5" w:rsidP="006A244E">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color w:val="000000"/>
          <w:szCs w:val="24"/>
        </w:rPr>
        <w:t xml:space="preserve">  </w:t>
      </w:r>
    </w:p>
    <w:p w14:paraId="3A7FC795" w14:textId="4E2A01AD" w:rsidR="00B7601F"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SOURCE OF REVENUE TO BE USED TO IMPLEMENT AND ENFORCE RULE:  </w:t>
      </w:r>
      <w:r w:rsidRPr="00F70739">
        <w:rPr>
          <w:color w:val="000000"/>
          <w:szCs w:val="24"/>
        </w:rPr>
        <w:t>The rule change</w:t>
      </w:r>
      <w:r w:rsidR="00BD1BCA">
        <w:rPr>
          <w:color w:val="000000"/>
          <w:szCs w:val="24"/>
        </w:rPr>
        <w:t>s</w:t>
      </w:r>
      <w:r w:rsidRPr="00F70739">
        <w:rPr>
          <w:color w:val="000000"/>
          <w:szCs w:val="24"/>
        </w:rPr>
        <w:t xml:space="preserve"> will not require additional revenue for implementation and enforcement.</w:t>
      </w:r>
    </w:p>
    <w:p w14:paraId="531876CB" w14:textId="77777777" w:rsidR="00B7601F" w:rsidRPr="00F70739" w:rsidRDefault="00B7601F">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6C923783" w14:textId="77777777" w:rsidR="00B7601F"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PROJECTED NET LOSS OR GAIN IN REVENUES FOR DEQ AND/OR OTHER AGENCIES IF IT CAN BE PROJECTED:  </w:t>
      </w:r>
      <w:r w:rsidRPr="00F70739">
        <w:rPr>
          <w:color w:val="000000"/>
          <w:szCs w:val="24"/>
        </w:rPr>
        <w:t>DEQ does not anticipate any loss or gain in revenues from this rulemaking.</w:t>
      </w:r>
    </w:p>
    <w:p w14:paraId="4068A0C3" w14:textId="77777777" w:rsidR="00B7601F" w:rsidRPr="00F70739" w:rsidRDefault="00B7601F">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08EC4291" w14:textId="3C8F3884" w:rsidR="00F8183D"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COOPERATION OF POLITICAL SUBDIVISION REQUIRED TO IMPLEMENT OR ENFORCE RULE:</w:t>
      </w:r>
      <w:r w:rsidRPr="00F70739">
        <w:rPr>
          <w:color w:val="000000"/>
          <w:szCs w:val="24"/>
        </w:rPr>
        <w:t xml:space="preserve">  No cooperation by other political subdivisions is anticipated to implement or enforce the proposed rule</w:t>
      </w:r>
      <w:r w:rsidR="00BD1BCA">
        <w:rPr>
          <w:color w:val="000000"/>
          <w:szCs w:val="24"/>
        </w:rPr>
        <w:t>s</w:t>
      </w:r>
      <w:r w:rsidRPr="00F70739">
        <w:rPr>
          <w:color w:val="000000"/>
          <w:szCs w:val="24"/>
        </w:rPr>
        <w:t>.</w:t>
      </w:r>
      <w:r w:rsidR="00283A0B" w:rsidRPr="00F70739">
        <w:rPr>
          <w:b/>
          <w:color w:val="000000"/>
          <w:szCs w:val="24"/>
        </w:rPr>
        <w:t xml:space="preserve"> </w:t>
      </w:r>
      <w:r w:rsidR="00075AB5" w:rsidRPr="00F70739">
        <w:rPr>
          <w:color w:val="000000"/>
          <w:szCs w:val="24"/>
        </w:rPr>
        <w:t xml:space="preserve">  </w:t>
      </w:r>
    </w:p>
    <w:p w14:paraId="6AC27377" w14:textId="77777777" w:rsidR="00F8183D" w:rsidRPr="00F70739" w:rsidRDefault="00F8183D">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40D47E50" w14:textId="7C1FBE3D" w:rsidR="00075AB5" w:rsidRPr="00F70739" w:rsidRDefault="001B7602">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EXPLANATION OF THE MEASURES THE DEQ TOOK TO MINIMIZE COMPLIANCE COSTS:  </w:t>
      </w:r>
      <w:r w:rsidRPr="00F70739">
        <w:rPr>
          <w:color w:val="000000"/>
          <w:szCs w:val="24"/>
        </w:rPr>
        <w:t>No compliance costs are anticipated due to the proposed rule changes.</w:t>
      </w:r>
      <w:r w:rsidR="00BD1BCA">
        <w:rPr>
          <w:color w:val="000000"/>
          <w:szCs w:val="24"/>
        </w:rPr>
        <w:t xml:space="preserve"> Cost savings are anticipated.</w:t>
      </w:r>
    </w:p>
    <w:p w14:paraId="32FE93FC" w14:textId="77777777" w:rsidR="00075AB5" w:rsidRPr="00F70739" w:rsidRDefault="00075AB5">
      <w:pPr>
        <w:widowControl w:val="0"/>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6B800AFA" w14:textId="63326C75" w:rsidR="00075AB5" w:rsidRPr="00F70739" w:rsidRDefault="001B7602">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DETERMINATION OF WHETHER THERE ARE LESS COSTLY OR </w:t>
      </w:r>
      <w:r w:rsidRPr="00F70739">
        <w:rPr>
          <w:b/>
          <w:color w:val="000000"/>
          <w:szCs w:val="24"/>
        </w:rPr>
        <w:lastRenderedPageBreak/>
        <w:t xml:space="preserve">NONREGULATORY OR LESS INTRUSIVE METHODS OF ACHIEVING THE PURPOSE OF THE PROPOSED RULE:  </w:t>
      </w:r>
      <w:r w:rsidRPr="00F70739">
        <w:rPr>
          <w:color w:val="000000"/>
          <w:szCs w:val="24"/>
        </w:rPr>
        <w:t>None.  The proposed rule change is to maintain equivalency with federal regulations</w:t>
      </w:r>
      <w:r w:rsidR="00BD1BCA">
        <w:rPr>
          <w:color w:val="000000"/>
          <w:szCs w:val="24"/>
        </w:rPr>
        <w:t>, to modernize existing rules, and to conform state rules to state statutes.</w:t>
      </w:r>
      <w:r w:rsidR="00075AB5" w:rsidRPr="00F70739">
        <w:rPr>
          <w:color w:val="000000"/>
          <w:szCs w:val="24"/>
        </w:rPr>
        <w:t xml:space="preserve"> </w:t>
      </w:r>
    </w:p>
    <w:p w14:paraId="2A321042" w14:textId="77777777" w:rsidR="006A244E" w:rsidRPr="00F70739" w:rsidRDefault="006A244E">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p>
    <w:p w14:paraId="5DA67C22" w14:textId="7F8BAA2D" w:rsidR="009D1733" w:rsidRPr="00F70739" w:rsidRDefault="001B7602">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DETERMINATION OF THE EFFECT ON PUBLIC HEALTH, SAFETY AND ENVIRONMENT:  </w:t>
      </w:r>
      <w:r w:rsidRPr="00F70739">
        <w:rPr>
          <w:color w:val="000000"/>
          <w:szCs w:val="24"/>
        </w:rPr>
        <w:t>The</w:t>
      </w:r>
      <w:r w:rsidR="00BD1BCA">
        <w:rPr>
          <w:color w:val="000000"/>
          <w:szCs w:val="24"/>
        </w:rPr>
        <w:t>se rule changes represent modernizations and streamlining of regulatory requirements. An overall benefit is anticipated as more time can be devoted to compliance at both the generator and regulator level and additional flexibilities should help generators to properly manage their ignitable hazardous waste in a more efficient manner.</w:t>
      </w:r>
    </w:p>
    <w:p w14:paraId="56F4FB1E" w14:textId="77777777" w:rsidR="006A244E" w:rsidRPr="00F70739" w:rsidRDefault="006A244E">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0F5294C7" w14:textId="0FB40A98" w:rsidR="006A244E" w:rsidRPr="00F70739" w:rsidRDefault="001B7602" w:rsidP="006A244E">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IF THE PROPOSED RULE IS DESIGNED TO REDUCE SIGNIFICANT RISKS TO THE PUBLIC HEALTH, SAFETY AND ENVIRONMENT, EXPLANATION OF THE NATURE OF THE RISK AND TO WHAT EXTENT THE PROPOSED RULE WILL REDUCE THE RISK:  </w:t>
      </w:r>
      <w:r w:rsidRPr="00F70739">
        <w:rPr>
          <w:color w:val="000000"/>
          <w:szCs w:val="24"/>
        </w:rPr>
        <w:t>The proposed rule</w:t>
      </w:r>
      <w:r w:rsidR="00BD1BCA">
        <w:rPr>
          <w:color w:val="000000"/>
          <w:szCs w:val="24"/>
        </w:rPr>
        <w:t>s</w:t>
      </w:r>
      <w:r w:rsidRPr="00F70739">
        <w:rPr>
          <w:color w:val="000000"/>
          <w:szCs w:val="24"/>
        </w:rPr>
        <w:t xml:space="preserve"> should</w:t>
      </w:r>
      <w:r w:rsidR="00BD1BCA">
        <w:rPr>
          <w:color w:val="000000"/>
          <w:szCs w:val="24"/>
        </w:rPr>
        <w:t xml:space="preserve"> have minimal if any impact on risks associated with hazardous waste management.</w:t>
      </w:r>
      <w:r w:rsidR="00765F5D">
        <w:rPr>
          <w:color w:val="000000"/>
          <w:szCs w:val="24"/>
        </w:rPr>
        <w:t xml:space="preserve"> They should make it easier and less costly for facilities to comply with the regulations.  They simplify the fee structure associated with LQGs.</w:t>
      </w:r>
      <w:r w:rsidR="00075AB5" w:rsidRPr="00F70739">
        <w:rPr>
          <w:color w:val="000000"/>
          <w:szCs w:val="24"/>
        </w:rPr>
        <w:t xml:space="preserve"> </w:t>
      </w:r>
    </w:p>
    <w:p w14:paraId="6E2258D4" w14:textId="77777777" w:rsidR="006A244E" w:rsidRPr="00F70739" w:rsidRDefault="006A244E">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36B6A23F" w14:textId="3509E958" w:rsidR="006A244E" w:rsidRPr="00F70739" w:rsidRDefault="001B7602">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DETERMINATION OF ANY DETRIMENTAL EFFECT ON THE PUBLIC HEALTH, SAFETY AND ENVIRONMENT IF THE PROPOSED RULE IS NOT IMPLEMENTED:  </w:t>
      </w:r>
      <w:r w:rsidRPr="00F70739">
        <w:rPr>
          <w:color w:val="000000"/>
          <w:szCs w:val="24"/>
        </w:rPr>
        <w:t>Failure to pass the proposed revisions to OAC 252:205 will result in the DEQ hazardous waste rules not being equivalent to the federal regulations.  While this outcome may not have a detrimental effect on public health, safety, or the environment, it could result in higher costs to businesses that would not receive the regulatory relief provided for in the new</w:t>
      </w:r>
      <w:r w:rsidR="00765F5D">
        <w:rPr>
          <w:color w:val="000000"/>
          <w:szCs w:val="24"/>
        </w:rPr>
        <w:t xml:space="preserve"> rules</w:t>
      </w:r>
      <w:r w:rsidRPr="00F70739">
        <w:rPr>
          <w:color w:val="000000"/>
          <w:szCs w:val="24"/>
        </w:rPr>
        <w:t>.</w:t>
      </w:r>
      <w:r w:rsidR="00D3772F" w:rsidRPr="00F70739">
        <w:rPr>
          <w:color w:val="000000"/>
          <w:szCs w:val="24"/>
        </w:rPr>
        <w:t xml:space="preserve"> </w:t>
      </w:r>
    </w:p>
    <w:p w14:paraId="177B0DA7" w14:textId="77777777" w:rsidR="00FF23B0" w:rsidRPr="00F70739" w:rsidRDefault="00FF23B0">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66C76D13" w14:textId="77777777" w:rsidR="00F8183D" w:rsidRPr="00F70739" w:rsidRDefault="001B7602">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 xml:space="preserve">PROBABLE QUANTITATIVE AND QUALITATIVE IMPACT ON BUSINESS ENTITIES INCLUDING QUANTIFIABLE DATA WHERE POSSIBLE:  </w:t>
      </w:r>
      <w:r w:rsidRPr="00F70739">
        <w:rPr>
          <w:color w:val="000000"/>
          <w:szCs w:val="24"/>
        </w:rPr>
        <w:t xml:space="preserve"> Projected quantitative and qualitative impacts at the federal level are available in the respective Regulatory Impact Analyses available for the applicable rule</w:t>
      </w:r>
      <w:r w:rsidR="00E7623B" w:rsidRPr="00F70739">
        <w:rPr>
          <w:color w:val="000000"/>
          <w:szCs w:val="24"/>
        </w:rPr>
        <w:t xml:space="preserve">. </w:t>
      </w:r>
    </w:p>
    <w:p w14:paraId="0BB04E98" w14:textId="77777777" w:rsidR="00F8183D" w:rsidRPr="00F70739" w:rsidRDefault="00F8183D">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05C3C4C9" w14:textId="4726B47A" w:rsidR="00F8183D" w:rsidRPr="00F70739" w:rsidRDefault="001B7602">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Cs w:val="24"/>
        </w:rPr>
      </w:pPr>
      <w:r w:rsidRPr="00F70739">
        <w:rPr>
          <w:b/>
          <w:color w:val="000000"/>
          <w:szCs w:val="24"/>
        </w:rPr>
        <w:t>THIS RULE IMPACT STATEMENT WAS PREPARED ON:</w:t>
      </w:r>
      <w:r w:rsidRPr="00F70739">
        <w:rPr>
          <w:color w:val="000000"/>
          <w:szCs w:val="24"/>
        </w:rPr>
        <w:t xml:space="preserve">  </w:t>
      </w:r>
      <w:r w:rsidR="00765F5D">
        <w:rPr>
          <w:color w:val="000000"/>
          <w:szCs w:val="24"/>
        </w:rPr>
        <w:t>August 4, 2021</w:t>
      </w:r>
    </w:p>
    <w:p w14:paraId="426102E6" w14:textId="77777777" w:rsidR="00F8183D" w:rsidRPr="00F70739" w:rsidRDefault="00F8183D">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1EB90E05" w14:textId="77777777" w:rsidR="00075AB5"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3C5B8ED6" w14:textId="77777777" w:rsidR="00075AB5"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1F838A5A" w14:textId="77777777" w:rsidR="00075AB5"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145F53AC" w14:textId="77777777" w:rsidR="00A5113C" w:rsidRPr="00F70739" w:rsidRDefault="00A5113C">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2819B112" w14:textId="77777777" w:rsidR="00D2387F" w:rsidRPr="00F70739" w:rsidRDefault="00D2387F">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7CAAD33B" w14:textId="77777777" w:rsidR="00D2387F" w:rsidRPr="00F70739" w:rsidRDefault="00D2387F">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40767A84" w14:textId="77777777" w:rsidR="00F8183D"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r w:rsidRPr="00F70739">
        <w:rPr>
          <w:b/>
          <w:color w:val="FF0000"/>
          <w:szCs w:val="24"/>
        </w:rPr>
        <w:t xml:space="preserve"> </w:t>
      </w:r>
      <w:r w:rsidRPr="00F70739">
        <w:rPr>
          <w:color w:val="FF0000"/>
          <w:szCs w:val="24"/>
        </w:rPr>
        <w:t xml:space="preserve"> </w:t>
      </w:r>
    </w:p>
    <w:p w14:paraId="1C46EC01" w14:textId="77777777" w:rsidR="00F8183D" w:rsidRPr="00F70739" w:rsidRDefault="00F8183D">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0EDC5D67" w14:textId="31CE908A" w:rsidR="00A5113C" w:rsidRPr="00F70739" w:rsidRDefault="00A5113C" w:rsidP="00765F5D">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36F7EA2C" w14:textId="77777777" w:rsidR="00A5113C" w:rsidRPr="00F70739" w:rsidRDefault="00A5113C">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5FDF64D6" w14:textId="77777777" w:rsidR="00A5113C" w:rsidRPr="00F70739" w:rsidRDefault="00A5113C">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182C5131" w14:textId="77777777" w:rsidR="00F8183D"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r w:rsidRPr="00F70739">
        <w:rPr>
          <w:color w:val="FF0000"/>
          <w:szCs w:val="24"/>
        </w:rPr>
        <w:t xml:space="preserve">  </w:t>
      </w:r>
    </w:p>
    <w:p w14:paraId="77338A68" w14:textId="77777777" w:rsidR="00A5113C" w:rsidRPr="00F70739" w:rsidRDefault="00A5113C">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0F51AE2C" w14:textId="77777777" w:rsidR="00075AB5"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p w14:paraId="4B938129" w14:textId="77777777" w:rsidR="00075AB5" w:rsidRPr="00F70739" w:rsidRDefault="00075AB5">
      <w:pPr>
        <w:widowControl w:val="0"/>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4"/>
        </w:rPr>
      </w:pPr>
    </w:p>
    <w:sectPr w:rsidR="00075AB5" w:rsidRPr="00F70739" w:rsidSect="006B3A85">
      <w:footerReference w:type="even" r:id="rId8"/>
      <w:footerReference w:type="default" r:id="rId9"/>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B7ECF" w14:textId="77777777" w:rsidR="00025DEE" w:rsidRDefault="00025DEE" w:rsidP="00CF7C11">
      <w:r>
        <w:separator/>
      </w:r>
    </w:p>
  </w:endnote>
  <w:endnote w:type="continuationSeparator" w:id="0">
    <w:p w14:paraId="1258BCD3" w14:textId="77777777" w:rsidR="00025DEE" w:rsidRDefault="00025DEE" w:rsidP="00CF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298D" w14:textId="77777777" w:rsidR="00CF7C11" w:rsidRDefault="00CF7C11">
    <w:pPr>
      <w:pStyle w:val="Footer"/>
      <w:jc w:val="center"/>
    </w:pPr>
    <w:r>
      <w:fldChar w:fldCharType="begin"/>
    </w:r>
    <w:r>
      <w:instrText xml:space="preserve"> PAGE   \* MERGEFORMAT </w:instrText>
    </w:r>
    <w:r>
      <w:fldChar w:fldCharType="separate"/>
    </w:r>
    <w:r w:rsidR="000D7ACD">
      <w:rPr>
        <w:noProof/>
      </w:rPr>
      <w:t>2</w:t>
    </w:r>
    <w:r>
      <w:rPr>
        <w:noProof/>
      </w:rPr>
      <w:fldChar w:fldCharType="end"/>
    </w:r>
  </w:p>
  <w:p w14:paraId="4658AF22" w14:textId="77777777" w:rsidR="00CF7C11" w:rsidRDefault="00CF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2ED5" w14:textId="77777777" w:rsidR="00CF7C11" w:rsidRDefault="00CF7C11">
    <w:pPr>
      <w:pStyle w:val="Footer"/>
      <w:jc w:val="center"/>
    </w:pPr>
    <w:r>
      <w:fldChar w:fldCharType="begin"/>
    </w:r>
    <w:r>
      <w:instrText xml:space="preserve"> PAGE   \* MERGEFORMAT </w:instrText>
    </w:r>
    <w:r>
      <w:fldChar w:fldCharType="separate"/>
    </w:r>
    <w:r w:rsidR="000D7ACD">
      <w:rPr>
        <w:noProof/>
      </w:rPr>
      <w:t>1</w:t>
    </w:r>
    <w:r>
      <w:rPr>
        <w:noProof/>
      </w:rPr>
      <w:fldChar w:fldCharType="end"/>
    </w:r>
  </w:p>
  <w:p w14:paraId="287D8782" w14:textId="77777777" w:rsidR="00CF7C11" w:rsidRDefault="00CF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E26D8" w14:textId="77777777" w:rsidR="00025DEE" w:rsidRDefault="00025DEE" w:rsidP="00CF7C11">
      <w:r>
        <w:separator/>
      </w:r>
    </w:p>
  </w:footnote>
  <w:footnote w:type="continuationSeparator" w:id="0">
    <w:p w14:paraId="7BA721F3" w14:textId="77777777" w:rsidR="00025DEE" w:rsidRDefault="00025DEE" w:rsidP="00CF7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1D8D"/>
    <w:multiLevelType w:val="hybridMultilevel"/>
    <w:tmpl w:val="DE7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E0539"/>
    <w:multiLevelType w:val="hybridMultilevel"/>
    <w:tmpl w:val="5B58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9779D"/>
    <w:multiLevelType w:val="hybridMultilevel"/>
    <w:tmpl w:val="29D0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A1963"/>
    <w:multiLevelType w:val="hybridMultilevel"/>
    <w:tmpl w:val="6F2C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D03A8"/>
    <w:multiLevelType w:val="hybridMultilevel"/>
    <w:tmpl w:val="E62E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53A32"/>
    <w:multiLevelType w:val="hybridMultilevel"/>
    <w:tmpl w:val="C96E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97"/>
    <w:rsid w:val="0000389F"/>
    <w:rsid w:val="00025DEE"/>
    <w:rsid w:val="00064F6A"/>
    <w:rsid w:val="000712ED"/>
    <w:rsid w:val="00075AB5"/>
    <w:rsid w:val="000B21C5"/>
    <w:rsid w:val="000C3BD9"/>
    <w:rsid w:val="000D7ACD"/>
    <w:rsid w:val="001075FC"/>
    <w:rsid w:val="00115AD9"/>
    <w:rsid w:val="00150C47"/>
    <w:rsid w:val="001524E9"/>
    <w:rsid w:val="00176361"/>
    <w:rsid w:val="00192B39"/>
    <w:rsid w:val="001B38C3"/>
    <w:rsid w:val="001B7602"/>
    <w:rsid w:val="001D6F8E"/>
    <w:rsid w:val="001F3F46"/>
    <w:rsid w:val="001F7435"/>
    <w:rsid w:val="0021697E"/>
    <w:rsid w:val="00232C99"/>
    <w:rsid w:val="00243412"/>
    <w:rsid w:val="0024552D"/>
    <w:rsid w:val="00251863"/>
    <w:rsid w:val="00283A0B"/>
    <w:rsid w:val="002848DA"/>
    <w:rsid w:val="002B0603"/>
    <w:rsid w:val="002B750E"/>
    <w:rsid w:val="002C23C3"/>
    <w:rsid w:val="002C6190"/>
    <w:rsid w:val="002D1F70"/>
    <w:rsid w:val="00317CA7"/>
    <w:rsid w:val="00345132"/>
    <w:rsid w:val="003451F9"/>
    <w:rsid w:val="00351A4D"/>
    <w:rsid w:val="00393DA5"/>
    <w:rsid w:val="003C296C"/>
    <w:rsid w:val="003D2815"/>
    <w:rsid w:val="003D5C6E"/>
    <w:rsid w:val="003E4BFE"/>
    <w:rsid w:val="003E75C8"/>
    <w:rsid w:val="00401476"/>
    <w:rsid w:val="00416943"/>
    <w:rsid w:val="0043726C"/>
    <w:rsid w:val="00455188"/>
    <w:rsid w:val="00457169"/>
    <w:rsid w:val="004C553E"/>
    <w:rsid w:val="004E6EB2"/>
    <w:rsid w:val="00523FDF"/>
    <w:rsid w:val="005319A2"/>
    <w:rsid w:val="00552B45"/>
    <w:rsid w:val="00554B2F"/>
    <w:rsid w:val="00573AC9"/>
    <w:rsid w:val="00574248"/>
    <w:rsid w:val="00582B97"/>
    <w:rsid w:val="00595DA4"/>
    <w:rsid w:val="005A3811"/>
    <w:rsid w:val="005B4EAE"/>
    <w:rsid w:val="005E11DB"/>
    <w:rsid w:val="006003D5"/>
    <w:rsid w:val="00605BCE"/>
    <w:rsid w:val="00622677"/>
    <w:rsid w:val="006668AC"/>
    <w:rsid w:val="00681F1E"/>
    <w:rsid w:val="00694484"/>
    <w:rsid w:val="006A244E"/>
    <w:rsid w:val="006B3A85"/>
    <w:rsid w:val="006C32ED"/>
    <w:rsid w:val="007003A6"/>
    <w:rsid w:val="00756CF7"/>
    <w:rsid w:val="00757826"/>
    <w:rsid w:val="00765F5D"/>
    <w:rsid w:val="00770E77"/>
    <w:rsid w:val="0077567C"/>
    <w:rsid w:val="007B0D05"/>
    <w:rsid w:val="007B78DF"/>
    <w:rsid w:val="007D3B45"/>
    <w:rsid w:val="007E139D"/>
    <w:rsid w:val="007E3971"/>
    <w:rsid w:val="007F4B21"/>
    <w:rsid w:val="008060B2"/>
    <w:rsid w:val="00815185"/>
    <w:rsid w:val="00821806"/>
    <w:rsid w:val="0082358F"/>
    <w:rsid w:val="00836762"/>
    <w:rsid w:val="00862C17"/>
    <w:rsid w:val="00873678"/>
    <w:rsid w:val="0088523F"/>
    <w:rsid w:val="008945A5"/>
    <w:rsid w:val="008B7AE6"/>
    <w:rsid w:val="008E015F"/>
    <w:rsid w:val="008E734C"/>
    <w:rsid w:val="008F5110"/>
    <w:rsid w:val="00916184"/>
    <w:rsid w:val="00936FEB"/>
    <w:rsid w:val="00943DC5"/>
    <w:rsid w:val="009A0882"/>
    <w:rsid w:val="009B3A53"/>
    <w:rsid w:val="009C7050"/>
    <w:rsid w:val="009C7AE9"/>
    <w:rsid w:val="009D1733"/>
    <w:rsid w:val="009E0C7A"/>
    <w:rsid w:val="009F1882"/>
    <w:rsid w:val="00A5113C"/>
    <w:rsid w:val="00A74E03"/>
    <w:rsid w:val="00A9384C"/>
    <w:rsid w:val="00AA29EC"/>
    <w:rsid w:val="00AB303C"/>
    <w:rsid w:val="00AB4C24"/>
    <w:rsid w:val="00AC0758"/>
    <w:rsid w:val="00AD1005"/>
    <w:rsid w:val="00AD5952"/>
    <w:rsid w:val="00AF2A79"/>
    <w:rsid w:val="00B01371"/>
    <w:rsid w:val="00B162B8"/>
    <w:rsid w:val="00B16938"/>
    <w:rsid w:val="00B23A70"/>
    <w:rsid w:val="00B25877"/>
    <w:rsid w:val="00B26F1E"/>
    <w:rsid w:val="00B34437"/>
    <w:rsid w:val="00B36E10"/>
    <w:rsid w:val="00B4765C"/>
    <w:rsid w:val="00B51F40"/>
    <w:rsid w:val="00B54E9B"/>
    <w:rsid w:val="00B57FA0"/>
    <w:rsid w:val="00B7601F"/>
    <w:rsid w:val="00B85054"/>
    <w:rsid w:val="00BA31FC"/>
    <w:rsid w:val="00BB421E"/>
    <w:rsid w:val="00BC4D66"/>
    <w:rsid w:val="00BD1BCA"/>
    <w:rsid w:val="00BE18E5"/>
    <w:rsid w:val="00C454F8"/>
    <w:rsid w:val="00C546D4"/>
    <w:rsid w:val="00C62F90"/>
    <w:rsid w:val="00C80C1C"/>
    <w:rsid w:val="00C9611D"/>
    <w:rsid w:val="00CC0EFC"/>
    <w:rsid w:val="00CC241A"/>
    <w:rsid w:val="00CD6AE5"/>
    <w:rsid w:val="00CF7C11"/>
    <w:rsid w:val="00D12E96"/>
    <w:rsid w:val="00D2387F"/>
    <w:rsid w:val="00D25D61"/>
    <w:rsid w:val="00D3772F"/>
    <w:rsid w:val="00D50478"/>
    <w:rsid w:val="00D578F2"/>
    <w:rsid w:val="00D57D47"/>
    <w:rsid w:val="00D8410C"/>
    <w:rsid w:val="00DB0803"/>
    <w:rsid w:val="00DB4A63"/>
    <w:rsid w:val="00DD4570"/>
    <w:rsid w:val="00DE0CFF"/>
    <w:rsid w:val="00E07571"/>
    <w:rsid w:val="00E12B17"/>
    <w:rsid w:val="00E155F3"/>
    <w:rsid w:val="00E67A49"/>
    <w:rsid w:val="00E7623B"/>
    <w:rsid w:val="00E87ABC"/>
    <w:rsid w:val="00E96327"/>
    <w:rsid w:val="00EA77B0"/>
    <w:rsid w:val="00EB0D7F"/>
    <w:rsid w:val="00EE727F"/>
    <w:rsid w:val="00F021F4"/>
    <w:rsid w:val="00F150AA"/>
    <w:rsid w:val="00F20B3F"/>
    <w:rsid w:val="00F51A5E"/>
    <w:rsid w:val="00F60665"/>
    <w:rsid w:val="00F70739"/>
    <w:rsid w:val="00F8183D"/>
    <w:rsid w:val="00FA130E"/>
    <w:rsid w:val="00FD1647"/>
    <w:rsid w:val="00F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647E1"/>
  <w15:chartTrackingRefBased/>
  <w15:docId w15:val="{AEE71ACA-FB12-4181-A745-5FB20DC3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571"/>
    <w:rPr>
      <w:rFonts w:ascii="Tahoma" w:hAnsi="Tahoma" w:cs="Tahoma"/>
      <w:sz w:val="16"/>
      <w:szCs w:val="16"/>
    </w:rPr>
  </w:style>
  <w:style w:type="character" w:customStyle="1" w:styleId="BalloonTextChar">
    <w:name w:val="Balloon Text Char"/>
    <w:link w:val="BalloonText"/>
    <w:uiPriority w:val="99"/>
    <w:semiHidden/>
    <w:rsid w:val="00E07571"/>
    <w:rPr>
      <w:rFonts w:ascii="Tahoma" w:hAnsi="Tahoma" w:cs="Tahoma"/>
      <w:sz w:val="16"/>
      <w:szCs w:val="16"/>
    </w:rPr>
  </w:style>
  <w:style w:type="character" w:styleId="CommentReference">
    <w:name w:val="annotation reference"/>
    <w:uiPriority w:val="99"/>
    <w:semiHidden/>
    <w:unhideWhenUsed/>
    <w:rsid w:val="00E07571"/>
    <w:rPr>
      <w:sz w:val="16"/>
      <w:szCs w:val="16"/>
    </w:rPr>
  </w:style>
  <w:style w:type="paragraph" w:styleId="CommentText">
    <w:name w:val="annotation text"/>
    <w:basedOn w:val="Normal"/>
    <w:link w:val="CommentTextChar"/>
    <w:uiPriority w:val="99"/>
    <w:semiHidden/>
    <w:unhideWhenUsed/>
    <w:rsid w:val="00E07571"/>
    <w:rPr>
      <w:sz w:val="20"/>
    </w:rPr>
  </w:style>
  <w:style w:type="character" w:customStyle="1" w:styleId="CommentTextChar">
    <w:name w:val="Comment Text Char"/>
    <w:basedOn w:val="DefaultParagraphFont"/>
    <w:link w:val="CommentText"/>
    <w:uiPriority w:val="99"/>
    <w:semiHidden/>
    <w:rsid w:val="00E07571"/>
  </w:style>
  <w:style w:type="paragraph" w:styleId="CommentSubject">
    <w:name w:val="annotation subject"/>
    <w:basedOn w:val="CommentText"/>
    <w:next w:val="CommentText"/>
    <w:link w:val="CommentSubjectChar"/>
    <w:uiPriority w:val="99"/>
    <w:semiHidden/>
    <w:unhideWhenUsed/>
    <w:rsid w:val="00E07571"/>
    <w:rPr>
      <w:b/>
      <w:bCs/>
    </w:rPr>
  </w:style>
  <w:style w:type="character" w:customStyle="1" w:styleId="CommentSubjectChar">
    <w:name w:val="Comment Subject Char"/>
    <w:link w:val="CommentSubject"/>
    <w:uiPriority w:val="99"/>
    <w:semiHidden/>
    <w:rsid w:val="00E07571"/>
    <w:rPr>
      <w:b/>
      <w:bCs/>
    </w:rPr>
  </w:style>
  <w:style w:type="paragraph" w:styleId="Header">
    <w:name w:val="header"/>
    <w:basedOn w:val="Normal"/>
    <w:link w:val="HeaderChar"/>
    <w:uiPriority w:val="99"/>
    <w:unhideWhenUsed/>
    <w:rsid w:val="00CF7C11"/>
    <w:pPr>
      <w:tabs>
        <w:tab w:val="center" w:pos="4680"/>
        <w:tab w:val="right" w:pos="9360"/>
      </w:tabs>
    </w:pPr>
  </w:style>
  <w:style w:type="character" w:customStyle="1" w:styleId="HeaderChar">
    <w:name w:val="Header Char"/>
    <w:link w:val="Header"/>
    <w:uiPriority w:val="99"/>
    <w:rsid w:val="00CF7C11"/>
    <w:rPr>
      <w:sz w:val="24"/>
    </w:rPr>
  </w:style>
  <w:style w:type="paragraph" w:styleId="Footer">
    <w:name w:val="footer"/>
    <w:basedOn w:val="Normal"/>
    <w:link w:val="FooterChar"/>
    <w:uiPriority w:val="99"/>
    <w:unhideWhenUsed/>
    <w:rsid w:val="00CF7C11"/>
    <w:pPr>
      <w:tabs>
        <w:tab w:val="center" w:pos="4680"/>
        <w:tab w:val="right" w:pos="9360"/>
      </w:tabs>
    </w:pPr>
  </w:style>
  <w:style w:type="character" w:customStyle="1" w:styleId="FooterChar">
    <w:name w:val="Footer Char"/>
    <w:link w:val="Footer"/>
    <w:uiPriority w:val="99"/>
    <w:rsid w:val="00CF7C11"/>
    <w:rPr>
      <w:sz w:val="24"/>
    </w:rPr>
  </w:style>
  <w:style w:type="paragraph" w:styleId="NoSpacing">
    <w:name w:val="No Spacing"/>
    <w:uiPriority w:val="1"/>
    <w:qFormat/>
    <w:rsid w:val="00F70739"/>
    <w:rPr>
      <w:rFonts w:asciiTheme="minorHAnsi" w:eastAsiaTheme="minorHAnsi" w:hAnsiTheme="minorHAnsi" w:cstheme="minorBidi"/>
      <w:sz w:val="22"/>
      <w:szCs w:val="22"/>
    </w:rPr>
  </w:style>
  <w:style w:type="paragraph" w:styleId="ListParagraph">
    <w:name w:val="List Paragraph"/>
    <w:basedOn w:val="Normal"/>
    <w:uiPriority w:val="34"/>
    <w:qFormat/>
    <w:rsid w:val="00DB0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246523">
      <w:bodyDiv w:val="1"/>
      <w:marLeft w:val="0"/>
      <w:marRight w:val="0"/>
      <w:marTop w:val="0"/>
      <w:marBottom w:val="0"/>
      <w:divBdr>
        <w:top w:val="none" w:sz="0" w:space="0" w:color="auto"/>
        <w:left w:val="none" w:sz="0" w:space="0" w:color="auto"/>
        <w:bottom w:val="none" w:sz="0" w:space="0" w:color="auto"/>
        <w:right w:val="none" w:sz="0" w:space="0" w:color="auto"/>
      </w:divBdr>
    </w:div>
    <w:div w:id="14641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271C-0EF1-4D9C-A099-E9CA9E9F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DEQUser</dc:creator>
  <cp:keywords/>
  <cp:lastModifiedBy>Heather Mallory</cp:lastModifiedBy>
  <cp:revision>2</cp:revision>
  <cp:lastPrinted>2019-09-19T17:59:00Z</cp:lastPrinted>
  <dcterms:created xsi:type="dcterms:W3CDTF">2021-10-07T16:44:00Z</dcterms:created>
  <dcterms:modified xsi:type="dcterms:W3CDTF">2021-10-07T16:44:00Z</dcterms:modified>
</cp:coreProperties>
</file>