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9858" w14:textId="77777777" w:rsidR="00C512E7"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u w:val="none"/>
        </w:rPr>
      </w:pPr>
      <w:r>
        <w:rPr>
          <w:b/>
          <w:sz w:val="24"/>
          <w:u w:val="none"/>
        </w:rPr>
        <w:t>OKLAHOMA DEPARTMENT OF ENVIRONMENTAL QUALITY</w:t>
      </w:r>
    </w:p>
    <w:p w14:paraId="03085777" w14:textId="77777777" w:rsidR="00C512E7"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u w:val="none"/>
        </w:rPr>
      </w:pPr>
      <w:r>
        <w:rPr>
          <w:b/>
          <w:sz w:val="24"/>
          <w:u w:val="none"/>
        </w:rPr>
        <w:t xml:space="preserve">NOTICE </w:t>
      </w:r>
      <w:r w:rsidR="003517BB">
        <w:rPr>
          <w:b/>
          <w:sz w:val="24"/>
          <w:u w:val="none"/>
        </w:rPr>
        <w:t>OF</w:t>
      </w:r>
      <w:r>
        <w:rPr>
          <w:b/>
          <w:sz w:val="24"/>
          <w:u w:val="none"/>
        </w:rPr>
        <w:t xml:space="preserve"> APPLICATION FILED</w:t>
      </w:r>
    </w:p>
    <w:p w14:paraId="72102E7E" w14:textId="77777777" w:rsidR="00C512E7" w:rsidRDefault="00C512E7">
      <w:pPr>
        <w:pBdr>
          <w:top w:val="double" w:sz="12" w:space="1" w:color="auto"/>
          <w:left w:val="double" w:sz="12" w:space="4" w:color="auto"/>
          <w:bottom w:val="double" w:sz="12" w:space="1" w:color="auto"/>
          <w:right w:val="double" w:sz="12" w:space="4" w:color="auto"/>
        </w:pBdr>
        <w:jc w:val="both"/>
      </w:pPr>
    </w:p>
    <w:p w14:paraId="71D495CD" w14:textId="77777777" w:rsidR="00C512E7" w:rsidRPr="006B20FA" w:rsidRDefault="00C512E7">
      <w:pPr>
        <w:pBdr>
          <w:top w:val="double" w:sz="12" w:space="1" w:color="auto"/>
          <w:left w:val="double" w:sz="12" w:space="4" w:color="auto"/>
          <w:bottom w:val="double" w:sz="12" w:space="1" w:color="auto"/>
          <w:right w:val="double" w:sz="12" w:space="4" w:color="auto"/>
        </w:pBdr>
        <w:jc w:val="both"/>
      </w:pPr>
      <w:r>
        <w:rPr>
          <w:b/>
        </w:rPr>
        <w:t>Application filed</w:t>
      </w:r>
      <w:r w:rsidR="006B20FA">
        <w:rPr>
          <w:b/>
        </w:rPr>
        <w:t xml:space="preserve">. </w:t>
      </w:r>
      <w:r>
        <w:t xml:space="preserve">A solid waste Tier </w:t>
      </w:r>
      <w:r w:rsidR="006B20FA" w:rsidRPr="006B20FA">
        <w:t>III</w:t>
      </w:r>
      <w:r>
        <w:t xml:space="preserve"> application has been filed with </w:t>
      </w:r>
      <w:r w:rsidR="00586D99">
        <w:t xml:space="preserve">Oklahoma </w:t>
      </w:r>
      <w:r>
        <w:t>Department of Environmental Quality (DEQ)</w:t>
      </w:r>
      <w:r w:rsidR="006B20FA">
        <w:t xml:space="preserve">. </w:t>
      </w:r>
      <w:r w:rsidR="006B20FA" w:rsidRPr="006B20FA">
        <w:t xml:space="preserve">Interested </w:t>
      </w:r>
      <w:proofErr w:type="gramStart"/>
      <w:r w:rsidR="006B20FA" w:rsidRPr="006B20FA">
        <w:t>persons</w:t>
      </w:r>
      <w:proofErr w:type="gramEnd"/>
      <w:r w:rsidR="006B20FA" w:rsidRPr="006B20FA">
        <w:t xml:space="preserve"> now </w:t>
      </w:r>
      <w:proofErr w:type="gramStart"/>
      <w:r w:rsidR="006B20FA" w:rsidRPr="006B20FA">
        <w:t>have the opportunity to</w:t>
      </w:r>
      <w:proofErr w:type="gramEnd"/>
      <w:r w:rsidR="006B20FA" w:rsidRPr="006B20FA">
        <w:t xml:space="preserve"> meet with DEQ and learn how and where they may partici</w:t>
      </w:r>
      <w:r w:rsidR="00315B76">
        <w:t>pate in the permitting process.</w:t>
      </w:r>
    </w:p>
    <w:p w14:paraId="0383DE53" w14:textId="77777777" w:rsidR="00C512E7" w:rsidRPr="006B20FA" w:rsidRDefault="00C512E7">
      <w:pPr>
        <w:pBdr>
          <w:top w:val="double" w:sz="12" w:space="1" w:color="auto"/>
          <w:left w:val="double" w:sz="12" w:space="4" w:color="auto"/>
          <w:bottom w:val="double" w:sz="12" w:space="1" w:color="auto"/>
          <w:right w:val="double" w:sz="12" w:space="4" w:color="auto"/>
        </w:pBdr>
        <w:jc w:val="both"/>
      </w:pPr>
    </w:p>
    <w:p w14:paraId="74F4CB93" w14:textId="77777777" w:rsidR="00C512E7" w:rsidRDefault="00C512E7">
      <w:pPr>
        <w:pBdr>
          <w:top w:val="double" w:sz="12" w:space="1" w:color="auto"/>
          <w:left w:val="double" w:sz="12" w:space="4" w:color="auto"/>
          <w:bottom w:val="double" w:sz="12" w:space="1" w:color="auto"/>
          <w:right w:val="double" w:sz="12" w:space="4" w:color="auto"/>
        </w:pBdr>
        <w:jc w:val="both"/>
      </w:pPr>
      <w:r>
        <w:rPr>
          <w:b/>
        </w:rPr>
        <w:t>Applicant:</w:t>
      </w:r>
      <w:r w:rsidR="009D5612">
        <w:t xml:space="preserve"> </w:t>
      </w:r>
      <w:r w:rsidR="00420930">
        <w:t>A</w:t>
      </w:r>
      <w:r>
        <w:t xml:space="preserve">pplicant </w:t>
      </w:r>
      <w:r w:rsidR="009D5612">
        <w:t>is N.E. Land Fill, LLC (a subsidiary of WCA of Oklahoma, LLC, a GFL Environmental [GFL] Company), which owns and operates Northeast C&amp;D Landfill</w:t>
      </w:r>
      <w:r w:rsidR="00614594">
        <w:t xml:space="preserve">. </w:t>
      </w:r>
    </w:p>
    <w:p w14:paraId="6E32B3CC" w14:textId="77777777" w:rsidR="00C512E7" w:rsidRDefault="00C512E7">
      <w:pPr>
        <w:pBdr>
          <w:top w:val="double" w:sz="12" w:space="1" w:color="auto"/>
          <w:left w:val="double" w:sz="12" w:space="4" w:color="auto"/>
          <w:bottom w:val="double" w:sz="12" w:space="1" w:color="auto"/>
          <w:right w:val="double" w:sz="12" w:space="4" w:color="auto"/>
        </w:pBdr>
        <w:jc w:val="both"/>
      </w:pPr>
      <w:r>
        <w:rPr>
          <w:u w:val="single"/>
        </w:rPr>
        <w:t xml:space="preserve">  </w:t>
      </w:r>
    </w:p>
    <w:p w14:paraId="2A287A71" w14:textId="77777777" w:rsidR="00C512E7" w:rsidRDefault="00C512E7">
      <w:pPr>
        <w:pBdr>
          <w:top w:val="double" w:sz="12" w:space="1" w:color="auto"/>
          <w:left w:val="double" w:sz="12" w:space="4" w:color="auto"/>
          <w:bottom w:val="double" w:sz="12" w:space="1" w:color="auto"/>
          <w:right w:val="double" w:sz="12" w:space="4" w:color="auto"/>
        </w:pBdr>
        <w:jc w:val="both"/>
      </w:pPr>
      <w:r>
        <w:rPr>
          <w:b/>
        </w:rPr>
        <w:t xml:space="preserve">Type of final permit or permit action being </w:t>
      </w:r>
      <w:proofErr w:type="gramStart"/>
      <w:r>
        <w:rPr>
          <w:b/>
        </w:rPr>
        <w:t>sought:</w:t>
      </w:r>
      <w:proofErr w:type="gramEnd"/>
      <w:r w:rsidR="009D5612">
        <w:t xml:space="preserve"> </w:t>
      </w:r>
      <w:r w:rsidR="00420930">
        <w:t>A</w:t>
      </w:r>
      <w:r w:rsidR="006B20FA">
        <w:t xml:space="preserve">pplicant seeks to modify an existing </w:t>
      </w:r>
      <w:r>
        <w:t>permit.</w:t>
      </w:r>
    </w:p>
    <w:p w14:paraId="6DEE1917" w14:textId="77777777" w:rsidR="00C512E7" w:rsidRDefault="00C512E7">
      <w:pPr>
        <w:pBdr>
          <w:top w:val="double" w:sz="12" w:space="1" w:color="auto"/>
          <w:left w:val="double" w:sz="12" w:space="4" w:color="auto"/>
          <w:bottom w:val="double" w:sz="12" w:space="1" w:color="auto"/>
          <w:right w:val="double" w:sz="12" w:space="4" w:color="auto"/>
        </w:pBdr>
        <w:jc w:val="both"/>
      </w:pPr>
    </w:p>
    <w:p w14:paraId="6245719A" w14:textId="77777777" w:rsidR="00C512E7" w:rsidRDefault="00C512E7">
      <w:pPr>
        <w:pBdr>
          <w:top w:val="double" w:sz="12" w:space="1" w:color="auto"/>
          <w:left w:val="double" w:sz="12" w:space="4" w:color="auto"/>
          <w:bottom w:val="double" w:sz="12" w:space="1" w:color="auto"/>
          <w:right w:val="double" w:sz="12" w:space="4" w:color="auto"/>
        </w:pBdr>
        <w:jc w:val="both"/>
      </w:pPr>
      <w:r>
        <w:rPr>
          <w:b/>
        </w:rPr>
        <w:t>Facility location:</w:t>
      </w:r>
      <w:r>
        <w:t xml:space="preserve"> </w:t>
      </w:r>
      <w:r w:rsidR="009D5612">
        <w:t>Northeast C&amp;D</w:t>
      </w:r>
      <w:r w:rsidR="00B211B9">
        <w:t xml:space="preserve"> Landfill</w:t>
      </w:r>
      <w:r w:rsidR="006B20FA" w:rsidRPr="00614594">
        <w:t xml:space="preserve"> </w:t>
      </w:r>
      <w:r w:rsidRPr="00614594">
        <w:t>is</w:t>
      </w:r>
      <w:r w:rsidR="006B20FA" w:rsidRPr="00614594">
        <w:t xml:space="preserve"> located </w:t>
      </w:r>
      <w:r w:rsidR="00B211B9">
        <w:t xml:space="preserve">at </w:t>
      </w:r>
      <w:r w:rsidR="009D5612">
        <w:t xml:space="preserve">2601 N. Midwest Boulevard, Spencer, Oklahoma. </w:t>
      </w:r>
      <w:r w:rsidRPr="00614594">
        <w:t xml:space="preserve">See </w:t>
      </w:r>
      <w:r w:rsidR="00420930">
        <w:t xml:space="preserve">property </w:t>
      </w:r>
      <w:r w:rsidRPr="00614594">
        <w:t>legal description below</w:t>
      </w:r>
      <w:r w:rsidR="00420930">
        <w:t>*</w:t>
      </w:r>
      <w:r w:rsidRPr="00614594">
        <w:t>.</w:t>
      </w:r>
    </w:p>
    <w:p w14:paraId="1D2410AA" w14:textId="77777777" w:rsidR="00C512E7" w:rsidRDefault="00C512E7">
      <w:pPr>
        <w:pBdr>
          <w:top w:val="double" w:sz="12" w:space="1" w:color="auto"/>
          <w:left w:val="double" w:sz="12" w:space="4" w:color="auto"/>
          <w:bottom w:val="double" w:sz="12" w:space="1" w:color="auto"/>
          <w:right w:val="double" w:sz="12" w:space="4" w:color="auto"/>
        </w:pBdr>
        <w:jc w:val="both"/>
        <w:rPr>
          <w:b/>
        </w:rPr>
      </w:pPr>
    </w:p>
    <w:p w14:paraId="0BA01CEF" w14:textId="77777777" w:rsidR="00C512E7" w:rsidRDefault="00C512E7">
      <w:pPr>
        <w:pBdr>
          <w:top w:val="double" w:sz="12" w:space="1" w:color="auto"/>
          <w:left w:val="double" w:sz="12" w:space="4" w:color="auto"/>
          <w:bottom w:val="double" w:sz="12" w:space="1" w:color="auto"/>
          <w:right w:val="double" w:sz="12" w:space="4" w:color="auto"/>
        </w:pBdr>
        <w:jc w:val="both"/>
      </w:pPr>
      <w:r>
        <w:rPr>
          <w:b/>
        </w:rPr>
        <w:t>Activities to be regulated if the application is approved:</w:t>
      </w:r>
      <w:r>
        <w:t xml:space="preserve"> </w:t>
      </w:r>
      <w:r w:rsidR="00420930">
        <w:t>A</w:t>
      </w:r>
      <w:r w:rsidR="0013344A">
        <w:t>pplicant seeks to modify the existing permit to expand the current</w:t>
      </w:r>
      <w:r w:rsidR="00420930">
        <w:t>ly</w:t>
      </w:r>
      <w:r w:rsidR="0013344A">
        <w:t xml:space="preserve"> permit</w:t>
      </w:r>
      <w:r w:rsidR="00315B76">
        <w:t>ted</w:t>
      </w:r>
      <w:r w:rsidR="0013344A">
        <w:t xml:space="preserve"> boundary</w:t>
      </w:r>
      <w:r w:rsidR="00315B76">
        <w:t xml:space="preserve"> to the north</w:t>
      </w:r>
      <w:r w:rsidR="004041F5">
        <w:t xml:space="preserve"> </w:t>
      </w:r>
      <w:r w:rsidR="004041F5" w:rsidRPr="00ED74B7">
        <w:t>on property already owned by Applicant</w:t>
      </w:r>
      <w:r w:rsidR="009D5612">
        <w:t xml:space="preserve">. </w:t>
      </w:r>
      <w:r w:rsidR="0013344A">
        <w:t xml:space="preserve">Facility operations will continue in the same manner as </w:t>
      </w:r>
      <w:r w:rsidR="00420930">
        <w:t xml:space="preserve">currently being conducted for </w:t>
      </w:r>
      <w:r w:rsidR="0013344A">
        <w:t xml:space="preserve">the existing facility. The </w:t>
      </w:r>
      <w:r w:rsidR="00315B76">
        <w:t xml:space="preserve">average </w:t>
      </w:r>
      <w:r w:rsidR="0013344A">
        <w:t xml:space="preserve">volume of </w:t>
      </w:r>
      <w:r w:rsidR="00420930">
        <w:t xml:space="preserve">construction and demolition (C&amp;D) </w:t>
      </w:r>
      <w:r w:rsidR="0013344A">
        <w:t xml:space="preserve">waste received </w:t>
      </w:r>
      <w:r w:rsidR="00315B76">
        <w:t xml:space="preserve">daily </w:t>
      </w:r>
      <w:r w:rsidR="0013344A">
        <w:t>at the facility is not anticipated to increase as a result of this permit modification.</w:t>
      </w:r>
    </w:p>
    <w:p w14:paraId="1882A1C4" w14:textId="77777777" w:rsidR="00C512E7" w:rsidRDefault="00C512E7">
      <w:pPr>
        <w:pBdr>
          <w:top w:val="double" w:sz="12" w:space="1" w:color="auto"/>
          <w:left w:val="double" w:sz="12" w:space="4" w:color="auto"/>
          <w:bottom w:val="double" w:sz="12" w:space="1" w:color="auto"/>
          <w:right w:val="double" w:sz="12" w:space="4" w:color="auto"/>
        </w:pBdr>
        <w:jc w:val="both"/>
      </w:pPr>
    </w:p>
    <w:p w14:paraId="6684A4BB" w14:textId="77777777" w:rsidR="00C512E7" w:rsidRDefault="00C512E7">
      <w:pPr>
        <w:pBdr>
          <w:top w:val="double" w:sz="12" w:space="1" w:color="auto"/>
          <w:left w:val="double" w:sz="12" w:space="4" w:color="auto"/>
          <w:bottom w:val="double" w:sz="12" w:space="1" w:color="auto"/>
          <w:right w:val="double" w:sz="12" w:space="4" w:color="auto"/>
        </w:pBdr>
        <w:jc w:val="both"/>
      </w:pPr>
      <w:r>
        <w:rPr>
          <w:b/>
        </w:rPr>
        <w:t xml:space="preserve">Statutes and Rules: </w:t>
      </w:r>
      <w:r>
        <w:t xml:space="preserve">DEQ will review the application for compliance with the Environmental Quality Code, including the Solid Waste Management Act, Title 27A of Oklahoma Statutes, Section 2-10-101, </w:t>
      </w:r>
      <w:r>
        <w:rPr>
          <w:i/>
        </w:rPr>
        <w:t>et seq.</w:t>
      </w:r>
      <w:r>
        <w:t xml:space="preserve">, and </w:t>
      </w:r>
      <w:r w:rsidR="00420930">
        <w:t xml:space="preserve">DEQ </w:t>
      </w:r>
      <w:r>
        <w:t>rules, Oklahoma Administrative Code, Title 252, Chapters 4 and 515.</w:t>
      </w:r>
    </w:p>
    <w:p w14:paraId="09B0938C" w14:textId="77777777" w:rsidR="00C512E7" w:rsidRDefault="00C512E7">
      <w:pPr>
        <w:pBdr>
          <w:top w:val="double" w:sz="12" w:space="1" w:color="auto"/>
          <w:left w:val="double" w:sz="12" w:space="4" w:color="auto"/>
          <w:bottom w:val="double" w:sz="12" w:space="1" w:color="auto"/>
          <w:right w:val="double" w:sz="12" w:space="4" w:color="auto"/>
        </w:pBdr>
        <w:jc w:val="both"/>
      </w:pPr>
    </w:p>
    <w:p w14:paraId="56190DC4" w14:textId="515E6F33" w:rsidR="00614594" w:rsidRPr="00614594" w:rsidRDefault="00C512E7" w:rsidP="00614594">
      <w:pPr>
        <w:pBdr>
          <w:top w:val="double" w:sz="12" w:space="1" w:color="auto"/>
          <w:left w:val="double" w:sz="12" w:space="4" w:color="auto"/>
          <w:bottom w:val="double" w:sz="12" w:space="1" w:color="auto"/>
          <w:right w:val="double" w:sz="12" w:space="4" w:color="auto"/>
        </w:pBdr>
        <w:jc w:val="both"/>
        <w:rPr>
          <w:u w:val="single"/>
        </w:rPr>
      </w:pPr>
      <w:r>
        <w:rPr>
          <w:b/>
        </w:rPr>
        <w:t>Permitting procedures explained:</w:t>
      </w:r>
      <w:r>
        <w:t xml:space="preserve"> </w:t>
      </w:r>
      <w:r w:rsidR="5D4B87A8">
        <w:t xml:space="preserve">A process meeting has been scheduled for </w:t>
      </w:r>
      <w:r w:rsidR="00C52808">
        <w:t xml:space="preserve">October </w:t>
      </w:r>
      <w:r w:rsidR="00E57E42">
        <w:t xml:space="preserve">24, </w:t>
      </w:r>
      <w:proofErr w:type="gramStart"/>
      <w:r w:rsidR="00E57E42">
        <w:t>2023</w:t>
      </w:r>
      <w:proofErr w:type="gramEnd"/>
      <w:r w:rsidR="00E57E42">
        <w:t xml:space="preserve"> from 6:00 pm to 8:00 pm at </w:t>
      </w:r>
      <w:r w:rsidR="00C90515">
        <w:t>Midwest City Library</w:t>
      </w:r>
      <w:r w:rsidR="5D4B87A8">
        <w:t xml:space="preserve">.  </w:t>
      </w:r>
      <w:r w:rsidR="00614594" w:rsidRPr="00614594">
        <w:t>At that meeting, there will be discussion</w:t>
      </w:r>
      <w:r w:rsidR="00F174DB">
        <w:t>s</w:t>
      </w:r>
      <w:r w:rsidR="00614594" w:rsidRPr="00614594">
        <w:t xml:space="preserve"> explaining when oral and written public comments can be made on the proposal. Administrative hearing opportu</w:t>
      </w:r>
      <w:r w:rsidR="009D5612">
        <w:t xml:space="preserve">nities will also be discussed. </w:t>
      </w:r>
      <w:r w:rsidR="00614594" w:rsidRPr="00614594">
        <w:t>Please note this is not a meeting for protests. Its purpose is to advise interested persons on participation opportunities during the permitting process. For more information about this process meeting, please contact the DEQ representative named below.</w:t>
      </w:r>
    </w:p>
    <w:p w14:paraId="1A3202FB" w14:textId="77777777" w:rsidR="00C512E7" w:rsidRDefault="00C512E7">
      <w:pPr>
        <w:pBdr>
          <w:top w:val="double" w:sz="12" w:space="1" w:color="auto"/>
          <w:left w:val="double" w:sz="12" w:space="4" w:color="auto"/>
          <w:bottom w:val="double" w:sz="12" w:space="1" w:color="auto"/>
          <w:right w:val="double" w:sz="12" w:space="4" w:color="auto"/>
        </w:pBdr>
        <w:jc w:val="both"/>
      </w:pPr>
    </w:p>
    <w:p w14:paraId="0BA90472" w14:textId="77777777" w:rsidR="00C512E7" w:rsidRDefault="00C512E7">
      <w:pPr>
        <w:pBdr>
          <w:top w:val="double" w:sz="12" w:space="1" w:color="auto"/>
          <w:left w:val="double" w:sz="12" w:space="4" w:color="auto"/>
          <w:bottom w:val="double" w:sz="12" w:space="1" w:color="auto"/>
          <w:right w:val="double" w:sz="12" w:space="4" w:color="auto"/>
        </w:pBdr>
        <w:jc w:val="both"/>
      </w:pPr>
      <w:r>
        <w:rPr>
          <w:b/>
        </w:rPr>
        <w:t>Locations where application may be reviewed:</w:t>
      </w:r>
      <w:r>
        <w:t xml:space="preserve">  </w:t>
      </w:r>
    </w:p>
    <w:p w14:paraId="6E1C31CC" w14:textId="77777777" w:rsidR="00C512E7" w:rsidRPr="008A2087" w:rsidRDefault="00C512E7">
      <w:pPr>
        <w:numPr>
          <w:ilvl w:val="0"/>
          <w:numId w:val="2"/>
        </w:numPr>
        <w:pBdr>
          <w:top w:val="double" w:sz="12" w:space="1" w:color="auto"/>
          <w:left w:val="double" w:sz="12" w:space="4" w:color="auto"/>
          <w:bottom w:val="double" w:sz="12" w:space="1" w:color="auto"/>
          <w:right w:val="double" w:sz="12" w:space="4" w:color="auto"/>
        </w:pBdr>
      </w:pPr>
      <w:r w:rsidRPr="008A2087">
        <w:t xml:space="preserve">Locally at </w:t>
      </w:r>
      <w:r w:rsidR="008A2087" w:rsidRPr="008A2087">
        <w:t>Midwest City Library</w:t>
      </w:r>
      <w:r w:rsidR="00614594" w:rsidRPr="008A2087">
        <w:t xml:space="preserve">, </w:t>
      </w:r>
      <w:r w:rsidR="008A2087" w:rsidRPr="008A2087">
        <w:t xml:space="preserve">8143 E Reno Avenue, Midwest City, </w:t>
      </w:r>
      <w:r w:rsidR="00F174DB">
        <w:t>OK</w:t>
      </w:r>
      <w:r w:rsidR="00F174DB" w:rsidRPr="008A2087">
        <w:t xml:space="preserve"> </w:t>
      </w:r>
      <w:r w:rsidR="008A2087" w:rsidRPr="008A2087">
        <w:t>73110</w:t>
      </w:r>
    </w:p>
    <w:p w14:paraId="4AAF5BA4" w14:textId="77777777" w:rsidR="00C512E7" w:rsidRDefault="00C512E7">
      <w:pPr>
        <w:numPr>
          <w:ilvl w:val="0"/>
          <w:numId w:val="2"/>
        </w:numPr>
        <w:pBdr>
          <w:top w:val="double" w:sz="12" w:space="1" w:color="auto"/>
          <w:left w:val="double" w:sz="12" w:space="4" w:color="auto"/>
          <w:bottom w:val="double" w:sz="12" w:space="1" w:color="auto"/>
          <w:right w:val="double" w:sz="12" w:space="4" w:color="auto"/>
        </w:pBdr>
      </w:pPr>
      <w:r>
        <w:t xml:space="preserve">DEQ </w:t>
      </w:r>
      <w:r w:rsidR="00586D99">
        <w:t>Central Records</w:t>
      </w:r>
      <w:r>
        <w:t xml:space="preserve"> </w:t>
      </w:r>
      <w:r w:rsidR="00614594">
        <w:t>Division</w:t>
      </w:r>
      <w:r w:rsidR="00586D99">
        <w:t>,</w:t>
      </w:r>
      <w:r>
        <w:t xml:space="preserve"> located at 707 N. Robinson</w:t>
      </w:r>
      <w:r w:rsidR="009D5612">
        <w:t xml:space="preserve"> Avenue</w:t>
      </w:r>
      <w:r>
        <w:t xml:space="preserve">, Oklahoma City, </w:t>
      </w:r>
      <w:r w:rsidR="009D5612">
        <w:t>OK 73101-1677</w:t>
      </w:r>
    </w:p>
    <w:p w14:paraId="445B7839" w14:textId="77777777" w:rsidR="009436D8" w:rsidRDefault="009436D8" w:rsidP="008A2087">
      <w:pPr>
        <w:numPr>
          <w:ilvl w:val="0"/>
          <w:numId w:val="2"/>
        </w:numPr>
        <w:pBdr>
          <w:top w:val="double" w:sz="12" w:space="1" w:color="auto"/>
          <w:left w:val="double" w:sz="12" w:space="4" w:color="auto"/>
          <w:bottom w:val="double" w:sz="12" w:space="1" w:color="auto"/>
          <w:right w:val="double" w:sz="12" w:space="4" w:color="auto"/>
        </w:pBdr>
      </w:pPr>
      <w:r>
        <w:t xml:space="preserve">DEQ webpage: </w:t>
      </w:r>
      <w:r w:rsidR="008A2087" w:rsidRPr="008A2087">
        <w:t>https://www.deq.ok.gov/permits-for-public-review/</w:t>
      </w:r>
    </w:p>
    <w:p w14:paraId="041FEDCA" w14:textId="77777777" w:rsidR="00C512E7" w:rsidRDefault="00C512E7" w:rsidP="003517BB">
      <w:pPr>
        <w:pBdr>
          <w:top w:val="double" w:sz="12" w:space="1" w:color="auto"/>
          <w:left w:val="double" w:sz="12" w:space="4" w:color="auto"/>
          <w:bottom w:val="double" w:sz="12" w:space="3" w:color="auto"/>
          <w:right w:val="double" w:sz="12" w:space="4" w:color="auto"/>
        </w:pBdr>
        <w:jc w:val="both"/>
      </w:pPr>
    </w:p>
    <w:p w14:paraId="57F21202" w14:textId="77777777" w:rsidR="00C512E7" w:rsidRDefault="00C512E7" w:rsidP="003517BB">
      <w:pPr>
        <w:pBdr>
          <w:top w:val="double" w:sz="12" w:space="1" w:color="auto"/>
          <w:left w:val="double" w:sz="12" w:space="4" w:color="auto"/>
          <w:bottom w:val="double" w:sz="12" w:space="3" w:color="auto"/>
          <w:right w:val="double" w:sz="12" w:space="4" w:color="auto"/>
        </w:pBdr>
        <w:jc w:val="both"/>
      </w:pPr>
      <w:r>
        <w:rPr>
          <w:b/>
        </w:rPr>
        <w:t xml:space="preserve">For more information, contact: </w:t>
      </w:r>
    </w:p>
    <w:p w14:paraId="7CA9B655" w14:textId="77777777" w:rsidR="00C512E7" w:rsidRDefault="00C512E7" w:rsidP="003517BB">
      <w:pPr>
        <w:numPr>
          <w:ilvl w:val="0"/>
          <w:numId w:val="3"/>
        </w:numPr>
        <w:pBdr>
          <w:top w:val="double" w:sz="12" w:space="1" w:color="auto"/>
          <w:left w:val="double" w:sz="12" w:space="4" w:color="auto"/>
          <w:bottom w:val="double" w:sz="12" w:space="3" w:color="auto"/>
          <w:right w:val="double" w:sz="12" w:space="4" w:color="auto"/>
        </w:pBdr>
        <w:jc w:val="both"/>
      </w:pPr>
      <w:r>
        <w:lastRenderedPageBreak/>
        <w:t xml:space="preserve">For </w:t>
      </w:r>
      <w:r w:rsidR="00F174DB">
        <w:t>A</w:t>
      </w:r>
      <w:r>
        <w:t xml:space="preserve">pplicant: </w:t>
      </w:r>
      <w:r w:rsidR="00FD6B3D" w:rsidRPr="008A2087">
        <w:t xml:space="preserve">Mr. </w:t>
      </w:r>
      <w:r w:rsidR="008A2087">
        <w:t>Robert Starke</w:t>
      </w:r>
      <w:r w:rsidR="006B6812">
        <w:t>, 2601 N. Midwest Blvd., Spencer, OK 73084; Ph: (405) 317-3912</w:t>
      </w:r>
    </w:p>
    <w:p w14:paraId="15C4D264" w14:textId="5D6D8704" w:rsidR="00C512E7" w:rsidRDefault="00C512E7" w:rsidP="003517BB">
      <w:pPr>
        <w:numPr>
          <w:ilvl w:val="0"/>
          <w:numId w:val="3"/>
        </w:numPr>
        <w:pBdr>
          <w:top w:val="double" w:sz="12" w:space="1" w:color="auto"/>
          <w:left w:val="double" w:sz="12" w:space="4" w:color="auto"/>
          <w:bottom w:val="double" w:sz="12" w:space="3" w:color="auto"/>
          <w:right w:val="double" w:sz="12" w:space="4" w:color="auto"/>
        </w:pBdr>
        <w:jc w:val="both"/>
      </w:pPr>
      <w:r>
        <w:t>For DEQ</w:t>
      </w:r>
      <w:r w:rsidR="003517BB">
        <w:t xml:space="preserve">: </w:t>
      </w:r>
      <w:r w:rsidR="308EBD10">
        <w:t>Hillary Young, P.E.</w:t>
      </w:r>
      <w:r>
        <w:t xml:space="preserve">, Land Protection Division, </w:t>
      </w:r>
      <w:r w:rsidR="003517BB">
        <w:t>707 N. Robinson Avenue</w:t>
      </w:r>
      <w:r>
        <w:t>, Oklahoma C</w:t>
      </w:r>
      <w:r w:rsidR="003517BB">
        <w:t xml:space="preserve">ity, OK 73101-1677; </w:t>
      </w:r>
      <w:r w:rsidR="008A2087">
        <w:t xml:space="preserve">Ph: </w:t>
      </w:r>
      <w:r w:rsidR="003517BB">
        <w:t>(405) 702-</w:t>
      </w:r>
      <w:r w:rsidR="00614594">
        <w:t>51</w:t>
      </w:r>
      <w:r w:rsidR="56E4E743">
        <w:t>00</w:t>
      </w:r>
      <w:r>
        <w:t>; Fax</w:t>
      </w:r>
      <w:r w:rsidR="008A2087">
        <w:t>:</w:t>
      </w:r>
      <w:r w:rsidR="00614594">
        <w:t xml:space="preserve"> </w:t>
      </w:r>
      <w:r>
        <w:t>(405) 702-5101</w:t>
      </w:r>
    </w:p>
    <w:p w14:paraId="3AC81561" w14:textId="77777777" w:rsidR="00C512E7" w:rsidRDefault="00C512E7" w:rsidP="003517BB">
      <w:pPr>
        <w:pBdr>
          <w:top w:val="double" w:sz="12" w:space="1" w:color="auto"/>
          <w:left w:val="double" w:sz="12" w:space="4" w:color="auto"/>
          <w:bottom w:val="double" w:sz="12" w:space="3" w:color="auto"/>
          <w:right w:val="double" w:sz="12" w:space="4" w:color="auto"/>
        </w:pBdr>
        <w:jc w:val="both"/>
      </w:pPr>
    </w:p>
    <w:p w14:paraId="28E8F5EB" w14:textId="77777777" w:rsidR="00614594" w:rsidRDefault="00C512E7"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r w:rsidRPr="00614594">
        <w:t xml:space="preserve">*Legal </w:t>
      </w:r>
      <w:r w:rsidR="00315B76">
        <w:t>d</w:t>
      </w:r>
      <w:r w:rsidRPr="00614594">
        <w:t xml:space="preserve">escription of </w:t>
      </w:r>
      <w:r w:rsidR="00315B76">
        <w:t>current</w:t>
      </w:r>
      <w:r w:rsidR="00F174DB">
        <w:t>ly</w:t>
      </w:r>
      <w:r w:rsidR="00315B76">
        <w:t xml:space="preserve"> permitted </w:t>
      </w:r>
      <w:r w:rsidR="00F174DB">
        <w:t>area</w:t>
      </w:r>
      <w:r w:rsidR="00315B76">
        <w:t>:</w:t>
      </w:r>
      <w:r w:rsidR="00614594" w:rsidRPr="00614594">
        <w:rPr>
          <w:rFonts w:ascii="Arial" w:eastAsia="Calibri" w:hAnsi="Arial"/>
          <w:color w:val="000000"/>
          <w:sz w:val="22"/>
          <w:szCs w:val="22"/>
        </w:rPr>
        <w:t xml:space="preserve"> </w:t>
      </w:r>
    </w:p>
    <w:p w14:paraId="0C2EFD62" w14:textId="77777777" w:rsidR="00614594" w:rsidRDefault="00614594"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p>
    <w:p w14:paraId="01BB573F" w14:textId="77777777" w:rsidR="00614594" w:rsidRPr="00614594" w:rsidRDefault="00FD6B3D" w:rsidP="003517BB">
      <w:pPr>
        <w:pBdr>
          <w:top w:val="double" w:sz="12" w:space="1" w:color="auto"/>
          <w:left w:val="double" w:sz="12" w:space="4" w:color="auto"/>
          <w:bottom w:val="double" w:sz="12" w:space="3" w:color="auto"/>
          <w:right w:val="double" w:sz="12" w:space="4" w:color="auto"/>
        </w:pBdr>
        <w:jc w:val="both"/>
        <w:outlineLvl w:val="0"/>
      </w:pPr>
      <w:r>
        <w:t xml:space="preserve">The NW/4 of the NE/4, SW/4 of the NE/4, and the SE/4 of the NE/4 of Section 24, Township 4 South, Range 2 East, Carter County, Oklahoma.  </w:t>
      </w:r>
    </w:p>
    <w:p w14:paraId="0B0EB9AC" w14:textId="77777777" w:rsidR="00614594" w:rsidRDefault="00614594" w:rsidP="003517BB">
      <w:pPr>
        <w:pBdr>
          <w:top w:val="double" w:sz="12" w:space="1" w:color="auto"/>
          <w:left w:val="double" w:sz="12" w:space="4" w:color="auto"/>
          <w:bottom w:val="double" w:sz="12" w:space="3" w:color="auto"/>
          <w:right w:val="double" w:sz="12" w:space="4" w:color="auto"/>
        </w:pBdr>
        <w:jc w:val="both"/>
        <w:outlineLvl w:val="0"/>
      </w:pPr>
    </w:p>
    <w:p w14:paraId="4EF5AE4A" w14:textId="77777777" w:rsidR="00315B76" w:rsidRDefault="00315B76"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r w:rsidRPr="00614594">
        <w:t xml:space="preserve">*Legal </w:t>
      </w:r>
      <w:r>
        <w:t>d</w:t>
      </w:r>
      <w:r w:rsidRPr="00614594">
        <w:t xml:space="preserve">escription of </w:t>
      </w:r>
      <w:r>
        <w:t>proposed expansion area</w:t>
      </w:r>
      <w:r>
        <w:rPr>
          <w:rFonts w:ascii="Arial" w:eastAsia="Calibri" w:hAnsi="Arial"/>
          <w:color w:val="000000"/>
          <w:sz w:val="22"/>
          <w:szCs w:val="22"/>
        </w:rPr>
        <w:t>:</w:t>
      </w:r>
    </w:p>
    <w:p w14:paraId="422C1D32"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p>
    <w:p w14:paraId="3168ED4B"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r w:rsidRPr="00CB404C">
        <w:t>The West Half (W/2) of the Northeast Quarter(NE/4) of the Southeast Quarter (SE/4) and the Southeast Quarter (SE/4) of the Northeast Quarter(NE/4) of the Southeast Quarter (SE/4) and the Northwest Quarter (NW/4) of the Southeast Quarter (SE/4) and the Northwest Quarter (NW/4) of the Southwest Quarter (SW/4) of the Southeast Quarter (SE/4) and the West Half (W/2) of the East Half (E/2) of the Southwest Quarter (SW/4) of the Southeast Quarter (SE/4) of Section 22, Township 12 North, Range 2 West of the Indian Meridian, Oklahoma County, Oklahoma.</w:t>
      </w:r>
    </w:p>
    <w:p w14:paraId="21641FD4"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p>
    <w:p w14:paraId="1925C9BB"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pPr>
      <w:r w:rsidRPr="00CB404C">
        <w:t>AND</w:t>
      </w:r>
    </w:p>
    <w:p w14:paraId="59B8C9DF"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p>
    <w:p w14:paraId="21256008"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pPr>
      <w:r w:rsidRPr="00CB404C">
        <w:t>A part of the Northeast Quarter (NE/4) of Section 22, Township 12 North, Range 2 West of the Indian Meridian, Oklahoma County, Oklahoma, more particularly described as follows:</w:t>
      </w:r>
    </w:p>
    <w:p w14:paraId="31E1DB96"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pPr>
    </w:p>
    <w:p w14:paraId="40B1EAAD"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pPr>
      <w:r w:rsidRPr="00CB404C">
        <w:t>Commencing at the Northeast (NE) corner of said Northeast Quarter (NE/4), S 00</w:t>
      </w:r>
      <w:r w:rsidRPr="00CB404C">
        <w:rPr>
          <w:rFonts w:cs="Arial"/>
        </w:rPr>
        <w:t>°</w:t>
      </w:r>
      <w:r w:rsidRPr="00CB404C">
        <w:t>33'24" E of distance of 1420.60 feet to the Point of Beginning; thence continuing along said East Line of the Northeast Quarter (NE/4), S 00</w:t>
      </w:r>
      <w:r w:rsidRPr="00CB404C">
        <w:rPr>
          <w:rFonts w:cs="Arial"/>
        </w:rPr>
        <w:t>°</w:t>
      </w:r>
      <w:r w:rsidRPr="00CB404C">
        <w:t>33'24" E a distance of 1122.47 feet to a point which is 100 feet N 00</w:t>
      </w:r>
      <w:r w:rsidRPr="00CB404C">
        <w:rPr>
          <w:rFonts w:cs="Arial"/>
        </w:rPr>
        <w:t>°</w:t>
      </w:r>
      <w:r w:rsidRPr="00CB404C">
        <w:t>33'24" W from the Southeast (SE) corner of said Northeast Quarter (NE/4); thence S 89</w:t>
      </w:r>
      <w:r w:rsidRPr="00CB404C">
        <w:rPr>
          <w:rFonts w:cs="Arial"/>
        </w:rPr>
        <w:t>°</w:t>
      </w:r>
      <w:r w:rsidRPr="00CB404C">
        <w:t>39'49" W a distance of 330.00 feet; thence S 00</w:t>
      </w:r>
      <w:r w:rsidRPr="00CB404C">
        <w:rPr>
          <w:rFonts w:cs="Arial"/>
        </w:rPr>
        <w:t>°</w:t>
      </w:r>
      <w:r w:rsidRPr="00CB404C">
        <w:t>33'24" E a distance of 100.00 feet to a point on the South Line of said Northeast Quarter (NE/4); thence along said South Line of the Northeast Quarter (NE/4), S 89</w:t>
      </w:r>
      <w:r w:rsidRPr="00CB404C">
        <w:rPr>
          <w:rFonts w:cs="Arial"/>
        </w:rPr>
        <w:t>°</w:t>
      </w:r>
      <w:r w:rsidRPr="00CB404C">
        <w:t>34'49" W a distance of 2308.74 feet to the Southwest (SW) corner of said Northeast Quarter (NE/4); thence along the West Line of said Northeast Quarter (NE/4), N 00</w:t>
      </w:r>
      <w:r w:rsidRPr="00CB404C">
        <w:rPr>
          <w:rFonts w:cs="Arial"/>
        </w:rPr>
        <w:t>°</w:t>
      </w:r>
      <w:r w:rsidRPr="00CB404C">
        <w:t>28'20" W a distance of the 1219.31 feet, thence N 89</w:t>
      </w:r>
      <w:r w:rsidRPr="00CB404C">
        <w:rPr>
          <w:rFonts w:cs="Arial"/>
        </w:rPr>
        <w:t>°</w:t>
      </w:r>
      <w:r w:rsidRPr="00CB404C">
        <w:t>35'43" E a distance of 2636.93 feet to the Point of Beginning.</w:t>
      </w:r>
    </w:p>
    <w:p w14:paraId="0484B8E1"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pPr>
    </w:p>
    <w:p w14:paraId="72B554E5" w14:textId="77777777" w:rsidR="003517BB" w:rsidRDefault="003517BB" w:rsidP="003517BB">
      <w:pPr>
        <w:pBdr>
          <w:top w:val="double" w:sz="12" w:space="1" w:color="auto"/>
          <w:left w:val="double" w:sz="12" w:space="4" w:color="auto"/>
          <w:bottom w:val="double" w:sz="12" w:space="3" w:color="auto"/>
          <w:right w:val="double" w:sz="12" w:space="4" w:color="auto"/>
        </w:pBdr>
        <w:jc w:val="both"/>
        <w:outlineLvl w:val="0"/>
        <w:rPr>
          <w:rFonts w:ascii="Arial" w:eastAsia="Calibri" w:hAnsi="Arial"/>
          <w:color w:val="000000"/>
          <w:sz w:val="22"/>
          <w:szCs w:val="22"/>
        </w:rPr>
      </w:pPr>
    </w:p>
    <w:sectPr w:rsidR="003517BB">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3AD4" w14:textId="77777777" w:rsidR="00545B77" w:rsidRDefault="00545B77">
      <w:r>
        <w:separator/>
      </w:r>
    </w:p>
  </w:endnote>
  <w:endnote w:type="continuationSeparator" w:id="0">
    <w:p w14:paraId="5297CD39" w14:textId="77777777" w:rsidR="00545B77" w:rsidRDefault="00545B77">
      <w:r>
        <w:continuationSeparator/>
      </w:r>
    </w:p>
  </w:endnote>
  <w:endnote w:type="continuationNotice" w:id="1">
    <w:p w14:paraId="009DCF20" w14:textId="77777777" w:rsidR="00545B77" w:rsidRDefault="00545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EA72" w14:textId="77777777" w:rsidR="00614594" w:rsidRDefault="00614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EBF21" w14:textId="77777777" w:rsidR="00614594" w:rsidRDefault="0061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4B3D" w14:textId="77777777" w:rsidR="00614594" w:rsidRDefault="006145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812">
      <w:rPr>
        <w:rStyle w:val="PageNumber"/>
        <w:noProof/>
      </w:rPr>
      <w:t>2</w:t>
    </w:r>
    <w:r>
      <w:rPr>
        <w:rStyle w:val="PageNumber"/>
      </w:rPr>
      <w:fldChar w:fldCharType="end"/>
    </w:r>
  </w:p>
  <w:p w14:paraId="158D1FEE" w14:textId="77777777" w:rsidR="00614594" w:rsidRDefault="0061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B946" w14:textId="77777777" w:rsidR="00545B77" w:rsidRDefault="00545B77">
      <w:r>
        <w:separator/>
      </w:r>
    </w:p>
  </w:footnote>
  <w:footnote w:type="continuationSeparator" w:id="0">
    <w:p w14:paraId="55984702" w14:textId="77777777" w:rsidR="00545B77" w:rsidRDefault="00545B77">
      <w:r>
        <w:continuationSeparator/>
      </w:r>
    </w:p>
  </w:footnote>
  <w:footnote w:type="continuationNotice" w:id="1">
    <w:p w14:paraId="7F25DB36" w14:textId="77777777" w:rsidR="00545B77" w:rsidRDefault="00545B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41206E"/>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551B2F88"/>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16cid:durableId="214672794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39521300">
    <w:abstractNumId w:val="2"/>
  </w:num>
  <w:num w:numId="3" w16cid:durableId="1187790480">
    <w:abstractNumId w:val="3"/>
  </w:num>
  <w:num w:numId="4" w16cid:durableId="1680348753">
    <w:abstractNumId w:val="4"/>
  </w:num>
  <w:num w:numId="5" w16cid:durableId="1630626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65FF"/>
    <w:rsid w:val="0013344A"/>
    <w:rsid w:val="0015461C"/>
    <w:rsid w:val="001D7FA7"/>
    <w:rsid w:val="002C2DA7"/>
    <w:rsid w:val="00315B76"/>
    <w:rsid w:val="003365FF"/>
    <w:rsid w:val="003517BB"/>
    <w:rsid w:val="003E2F75"/>
    <w:rsid w:val="003F3DA5"/>
    <w:rsid w:val="004041F5"/>
    <w:rsid w:val="00420930"/>
    <w:rsid w:val="004426A6"/>
    <w:rsid w:val="00545B77"/>
    <w:rsid w:val="00586D99"/>
    <w:rsid w:val="00601DB1"/>
    <w:rsid w:val="00614594"/>
    <w:rsid w:val="00623866"/>
    <w:rsid w:val="00646A43"/>
    <w:rsid w:val="006B20FA"/>
    <w:rsid w:val="006B6812"/>
    <w:rsid w:val="00711636"/>
    <w:rsid w:val="00766B26"/>
    <w:rsid w:val="0078185B"/>
    <w:rsid w:val="007861A3"/>
    <w:rsid w:val="007B2A42"/>
    <w:rsid w:val="007D1CA7"/>
    <w:rsid w:val="008A2087"/>
    <w:rsid w:val="008A5A17"/>
    <w:rsid w:val="008D014A"/>
    <w:rsid w:val="008E66CB"/>
    <w:rsid w:val="00933D2D"/>
    <w:rsid w:val="009436D8"/>
    <w:rsid w:val="00967A1D"/>
    <w:rsid w:val="009D5612"/>
    <w:rsid w:val="009D68B8"/>
    <w:rsid w:val="00A829F5"/>
    <w:rsid w:val="00A83D14"/>
    <w:rsid w:val="00B211B9"/>
    <w:rsid w:val="00B460CC"/>
    <w:rsid w:val="00B565A4"/>
    <w:rsid w:val="00B71117"/>
    <w:rsid w:val="00BA2900"/>
    <w:rsid w:val="00BC23E6"/>
    <w:rsid w:val="00C512E7"/>
    <w:rsid w:val="00C52808"/>
    <w:rsid w:val="00C90515"/>
    <w:rsid w:val="00D10715"/>
    <w:rsid w:val="00D75A27"/>
    <w:rsid w:val="00D84754"/>
    <w:rsid w:val="00D93687"/>
    <w:rsid w:val="00E41419"/>
    <w:rsid w:val="00E57E42"/>
    <w:rsid w:val="00EA0140"/>
    <w:rsid w:val="00ED0FDF"/>
    <w:rsid w:val="00ED74B7"/>
    <w:rsid w:val="00F174DB"/>
    <w:rsid w:val="00FD6B3D"/>
    <w:rsid w:val="00FE7F57"/>
    <w:rsid w:val="2FEB103F"/>
    <w:rsid w:val="308EBD10"/>
    <w:rsid w:val="56E4E743"/>
    <w:rsid w:val="5D4B87A8"/>
    <w:rsid w:val="77DD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7B088"/>
  <w15:chartTrackingRefBased/>
  <w15:docId w15:val="{4250B9E2-4CE4-4420-A380-B0C2BA5D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0"/>
      <w:u w:val="single"/>
    </w:rPr>
  </w:style>
  <w:style w:type="character" w:styleId="PageNumber">
    <w:name w:val="page number"/>
    <w:basedOn w:val="DefaultParagraphFont"/>
  </w:style>
  <w:style w:type="paragraph" w:styleId="Revision">
    <w:name w:val="Revision"/>
    <w:hidden/>
    <w:uiPriority w:val="99"/>
    <w:semiHidden/>
    <w:rsid w:val="00420930"/>
    <w:rPr>
      <w:sz w:val="24"/>
    </w:rPr>
  </w:style>
  <w:style w:type="character" w:styleId="CommentReference">
    <w:name w:val="annotation reference"/>
    <w:rsid w:val="00D84754"/>
    <w:rPr>
      <w:sz w:val="16"/>
      <w:szCs w:val="16"/>
    </w:rPr>
  </w:style>
  <w:style w:type="paragraph" w:styleId="CommentText">
    <w:name w:val="annotation text"/>
    <w:basedOn w:val="Normal"/>
    <w:link w:val="CommentTextChar"/>
    <w:rsid w:val="00D84754"/>
    <w:rPr>
      <w:sz w:val="20"/>
    </w:rPr>
  </w:style>
  <w:style w:type="character" w:customStyle="1" w:styleId="CommentTextChar">
    <w:name w:val="Comment Text Char"/>
    <w:basedOn w:val="DefaultParagraphFont"/>
    <w:link w:val="CommentText"/>
    <w:rsid w:val="00D84754"/>
  </w:style>
  <w:style w:type="paragraph" w:styleId="CommentSubject">
    <w:name w:val="annotation subject"/>
    <w:basedOn w:val="CommentText"/>
    <w:next w:val="CommentText"/>
    <w:link w:val="CommentSubjectChar"/>
    <w:rsid w:val="00D84754"/>
    <w:rPr>
      <w:b/>
      <w:bCs/>
    </w:rPr>
  </w:style>
  <w:style w:type="character" w:customStyle="1" w:styleId="CommentSubjectChar">
    <w:name w:val="Comment Subject Char"/>
    <w:link w:val="CommentSubject"/>
    <w:rsid w:val="00D84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a35c652-784e-4f00-a2ac-1048c4280bb8"/>
    <_ip_UnifiedCompliancePolicyProperties xmlns="http://schemas.microsoft.com/sharepoint/v3" xsi:nil="true"/>
    <lcf76f155ced4ddcb4097134ff3c332f xmlns="e5121de5-bb42-46d1-8fc1-e8c07162e23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B83E51D238414D89D44EC862BFB5C3" ma:contentTypeVersion="17" ma:contentTypeDescription="Create a new document." ma:contentTypeScope="" ma:versionID="36c61feadfa9157cf4055d1bda79c4f9">
  <xsd:schema xmlns:xsd="http://www.w3.org/2001/XMLSchema" xmlns:xs="http://www.w3.org/2001/XMLSchema" xmlns:p="http://schemas.microsoft.com/office/2006/metadata/properties" xmlns:ns1="http://schemas.microsoft.com/sharepoint/v3" xmlns:ns2="e5121de5-bb42-46d1-8fc1-e8c07162e232" xmlns:ns3="0a35c652-784e-4f00-a2ac-1048c4280bb8" targetNamespace="http://schemas.microsoft.com/office/2006/metadata/properties" ma:root="true" ma:fieldsID="99c8c28f89a0437b6539b674b8fb459d" ns1:_="" ns2:_="" ns3:_="">
    <xsd:import namespace="http://schemas.microsoft.com/sharepoint/v3"/>
    <xsd:import namespace="e5121de5-bb42-46d1-8fc1-e8c07162e232"/>
    <xsd:import namespace="0a35c652-784e-4f00-a2ac-1048c4280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21de5-bb42-46d1-8fc1-e8c07162e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35c652-784e-4f00-a2ac-1048c4280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b726b1-2a07-4066-9a88-5743787bffc7}" ma:internalName="TaxCatchAll" ma:showField="CatchAllData" ma:web="0a35c652-784e-4f00-a2ac-1048c4280b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512B46-2D05-49CD-8242-1763935814EF}">
  <ds:schemaRefs>
    <ds:schemaRef ds:uri="http://schemas.microsoft.com/office/2006/metadata/properties"/>
    <ds:schemaRef ds:uri="http://schemas.microsoft.com/office/infopath/2007/PartnerControls"/>
    <ds:schemaRef ds:uri="http://schemas.microsoft.com/sharepoint/v3"/>
    <ds:schemaRef ds:uri="0a35c652-784e-4f00-a2ac-1048c4280bb8"/>
    <ds:schemaRef ds:uri="e5121de5-bb42-46d1-8fc1-e8c07162e232"/>
  </ds:schemaRefs>
</ds:datastoreItem>
</file>

<file path=customXml/itemProps2.xml><?xml version="1.0" encoding="utf-8"?>
<ds:datastoreItem xmlns:ds="http://schemas.openxmlformats.org/officeDocument/2006/customXml" ds:itemID="{86717EAA-DFCC-47C6-92C6-E56C79329475}">
  <ds:schemaRefs>
    <ds:schemaRef ds:uri="http://schemas.microsoft.com/sharepoint/v3/contenttype/forms"/>
  </ds:schemaRefs>
</ds:datastoreItem>
</file>

<file path=customXml/itemProps3.xml><?xml version="1.0" encoding="utf-8"?>
<ds:datastoreItem xmlns:ds="http://schemas.openxmlformats.org/officeDocument/2006/customXml" ds:itemID="{601C6B67-1C0B-40F4-A820-FDB2CB6C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121de5-bb42-46d1-8fc1-e8c07162e232"/>
    <ds:schemaRef ds:uri="0a35c652-784e-4f00-a2ac-1048c428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cp:lastModifiedBy>Kaylee Daneshmand</cp:lastModifiedBy>
  <cp:revision>8</cp:revision>
  <cp:lastPrinted>1999-04-05T17:28:00Z</cp:lastPrinted>
  <dcterms:created xsi:type="dcterms:W3CDTF">2023-09-25T15:14:00Z</dcterms:created>
  <dcterms:modified xsi:type="dcterms:W3CDTF">2023-09-25T15:26:00Z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0x01010043B83E51D238414D89D44EC862BFB5C3</vt:lpwstr>
  </property>
  <property fmtid="{D5CDD505-2E9C-101B-9397-08002B2CF9AE}" pid="3" name="MediaServiceImageTags">
    <vt:lpwstr/>
  </property>
</Properties>
</file>