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F415" w14:textId="77777777" w:rsidR="00314D0E" w:rsidRPr="00446829"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rPr>
      </w:pPr>
      <w:r w:rsidRPr="00446829">
        <w:rPr>
          <w:rFonts w:ascii="Times New Roman" w:eastAsia="PMingLiU" w:hAnsi="Times New Roman" w:cs="Times New Roman"/>
          <w:b/>
          <w:bCs/>
        </w:rPr>
        <w:t>TITLE 252.  DEPARTMENT OF ENVIRONMENTAL QUALITY</w:t>
      </w:r>
    </w:p>
    <w:p w14:paraId="475AB7B3" w14:textId="0B1C2AA4" w:rsidR="00314D0E"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r w:rsidRPr="00446829">
        <w:rPr>
          <w:rFonts w:ascii="Times New Roman" w:eastAsia="PMingLiU" w:hAnsi="Times New Roman" w:cs="Times New Roman"/>
          <w:b/>
          <w:bCs/>
        </w:rPr>
        <w:t>CHAPTER 410.  RADIATION MANAGEMENT</w:t>
      </w:r>
    </w:p>
    <w:p w14:paraId="529C968A" w14:textId="77777777" w:rsidR="00B81AA2" w:rsidRDefault="00B81AA2"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p>
    <w:p w14:paraId="74929A07" w14:textId="54DFF32F" w:rsidR="00314D0E"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r>
        <w:rPr>
          <w:rFonts w:ascii="Times New Roman" w:eastAsia="PMingLiU" w:hAnsi="Times New Roman" w:cs="Times New Roman"/>
          <w:b/>
          <w:bCs/>
        </w:rPr>
        <w:t>SUBCHAPTER 1</w:t>
      </w:r>
      <w:r w:rsidR="00B81AA2">
        <w:rPr>
          <w:rFonts w:ascii="Times New Roman" w:eastAsia="PMingLiU" w:hAnsi="Times New Roman" w:cs="Times New Roman"/>
          <w:b/>
          <w:bCs/>
        </w:rPr>
        <w:t>.</w:t>
      </w:r>
      <w:r>
        <w:rPr>
          <w:rFonts w:ascii="Times New Roman" w:eastAsia="PMingLiU" w:hAnsi="Times New Roman" w:cs="Times New Roman"/>
          <w:b/>
          <w:bCs/>
        </w:rPr>
        <w:t xml:space="preserve"> </w:t>
      </w:r>
      <w:r w:rsidR="00B81AA2">
        <w:rPr>
          <w:rFonts w:ascii="Times New Roman" w:eastAsia="PMingLiU" w:hAnsi="Times New Roman" w:cs="Times New Roman"/>
          <w:b/>
          <w:bCs/>
        </w:rPr>
        <w:t xml:space="preserve"> </w:t>
      </w:r>
      <w:r>
        <w:rPr>
          <w:rFonts w:ascii="Times New Roman" w:eastAsia="PMingLiU" w:hAnsi="Times New Roman" w:cs="Times New Roman"/>
          <w:b/>
          <w:bCs/>
        </w:rPr>
        <w:t>GENERAL PROVISIONS</w:t>
      </w:r>
    </w:p>
    <w:p w14:paraId="6F7EA61B" w14:textId="77777777" w:rsidR="00314D0E" w:rsidRPr="00446829"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rPr>
      </w:pPr>
    </w:p>
    <w:p w14:paraId="4FCFB172" w14:textId="77777777"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b/>
          <w:bCs/>
        </w:rPr>
        <w:t>252:410-1-7.</w:t>
      </w:r>
      <w:r>
        <w:rPr>
          <w:rFonts w:ascii="Times New Roman" w:eastAsia="PMingLiU" w:hAnsi="Times New Roman" w:cs="Times New Roman"/>
          <w:b/>
          <w:bCs/>
        </w:rPr>
        <w:t xml:space="preserve"> </w:t>
      </w:r>
      <w:r w:rsidRPr="00446829">
        <w:rPr>
          <w:rFonts w:ascii="Times New Roman" w:eastAsia="PMingLiU" w:hAnsi="Times New Roman" w:cs="Times New Roman"/>
          <w:b/>
          <w:bCs/>
        </w:rPr>
        <w:t xml:space="preserve"> Incorporation of federal regulations by reference</w:t>
      </w:r>
    </w:p>
    <w:p w14:paraId="6DD750A2" w14:textId="6746159F"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(a)</w:t>
      </w:r>
      <w:r w:rsidRPr="00446829">
        <w:rPr>
          <w:rFonts w:ascii="Times New Roman" w:eastAsia="PMingLiU" w:hAnsi="Times New Roman" w:cs="Times New Roman"/>
        </w:rPr>
        <w:tab/>
      </w:r>
      <w:r w:rsidRPr="00446829">
        <w:rPr>
          <w:rFonts w:ascii="Times New Roman" w:eastAsia="PMingLiU" w:hAnsi="Times New Roman" w:cs="Times New Roman"/>
          <w:b/>
          <w:bCs/>
        </w:rPr>
        <w:t>10 CFR.</w:t>
      </w:r>
      <w:r w:rsidRPr="00446829">
        <w:rPr>
          <w:rFonts w:ascii="Times New Roman" w:eastAsia="PMingLiU" w:hAnsi="Times New Roman" w:cs="Times New Roman"/>
        </w:rPr>
        <w:t xml:space="preserve">  References in this Chapter to Title 10 of the Code of Federal Regulations (</w:t>
      </w:r>
      <w:r>
        <w:rPr>
          <w:rFonts w:ascii="Times New Roman" w:eastAsia="PMingLiU" w:hAnsi="Times New Roman" w:cs="Times New Roman"/>
        </w:rPr>
        <w:t xml:space="preserve">10 CFR) mean the </w:t>
      </w:r>
      <w:r w:rsidRPr="00CB6C51">
        <w:rPr>
          <w:rFonts w:ascii="Times New Roman" w:eastAsia="PMingLiU" w:hAnsi="Times New Roman" w:cs="Times New Roman"/>
        </w:rPr>
        <w:t xml:space="preserve">January 1, </w:t>
      </w:r>
      <w:r w:rsidR="004D3422" w:rsidRPr="004D3422">
        <w:rPr>
          <w:rFonts w:ascii="Times New Roman" w:eastAsia="PMingLiU" w:hAnsi="Times New Roman" w:cs="Times New Roman"/>
          <w:strike/>
        </w:rPr>
        <w:t>2021</w:t>
      </w:r>
      <w:r w:rsidR="004D3422">
        <w:rPr>
          <w:rFonts w:ascii="Times New Roman" w:eastAsia="PMingLiU" w:hAnsi="Times New Roman" w:cs="Times New Roman"/>
          <w:u w:val="single"/>
        </w:rPr>
        <w:t>2023</w:t>
      </w:r>
      <w:r w:rsidRPr="001A5F94">
        <w:rPr>
          <w:rFonts w:eastAsia="PMingLiU" w:cs="Times New Roman"/>
        </w:rPr>
        <w:t xml:space="preserve"> </w:t>
      </w:r>
      <w:r w:rsidRPr="00446829">
        <w:rPr>
          <w:rFonts w:ascii="Times New Roman" w:eastAsia="PMingLiU" w:hAnsi="Times New Roman" w:cs="Times New Roman"/>
        </w:rPr>
        <w:t>publication of 10 CFR.</w:t>
      </w:r>
    </w:p>
    <w:p w14:paraId="783D381B" w14:textId="39BBE78D"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(b)</w:t>
      </w:r>
      <w:r w:rsidRPr="00446829">
        <w:rPr>
          <w:rFonts w:ascii="Times New Roman" w:eastAsia="PMingLiU" w:hAnsi="Times New Roman" w:cs="Times New Roman"/>
        </w:rPr>
        <w:tab/>
      </w:r>
      <w:r w:rsidRPr="00446829">
        <w:rPr>
          <w:rFonts w:ascii="Times New Roman" w:eastAsia="PMingLiU" w:hAnsi="Times New Roman" w:cs="Times New Roman"/>
          <w:b/>
          <w:bCs/>
        </w:rPr>
        <w:t>40 CFR.</w:t>
      </w:r>
      <w:r w:rsidRPr="00446829">
        <w:rPr>
          <w:rFonts w:ascii="Times New Roman" w:eastAsia="PMingLiU" w:hAnsi="Times New Roman" w:cs="Times New Roman"/>
        </w:rPr>
        <w:t xml:space="preserve">  References in this Chapter to Title 40 of the Code of Federal Regulations (40 CFR) mean the July 1, </w:t>
      </w:r>
      <w:r w:rsidR="00263530" w:rsidRPr="00BD5A7A">
        <w:rPr>
          <w:rFonts w:ascii="Times New Roman" w:eastAsia="PMingLiU" w:hAnsi="Times New Roman" w:cs="Times New Roman"/>
          <w:strike/>
        </w:rPr>
        <w:t>2020</w:t>
      </w:r>
      <w:r w:rsidR="00BD5A7A">
        <w:rPr>
          <w:rFonts w:ascii="Times New Roman" w:eastAsia="PMingLiU" w:hAnsi="Times New Roman" w:cs="Times New Roman"/>
          <w:u w:val="single"/>
        </w:rPr>
        <w:t>2023</w:t>
      </w:r>
      <w:r w:rsidRPr="004D3422">
        <w:rPr>
          <w:rFonts w:ascii="Times New Roman" w:eastAsia="PMingLiU" w:hAnsi="Times New Roman" w:cs="Times New Roman"/>
        </w:rPr>
        <w:t xml:space="preserve"> </w:t>
      </w:r>
      <w:r w:rsidRPr="00446829">
        <w:rPr>
          <w:rFonts w:ascii="Times New Roman" w:eastAsia="PMingLiU" w:hAnsi="Times New Roman" w:cs="Times New Roman"/>
        </w:rPr>
        <w:t>publication of 40 CFR and 64 Fed. Reg. 5574 (February 3, 1999).</w:t>
      </w:r>
    </w:p>
    <w:p w14:paraId="5F9E5B51" w14:textId="4883A905" w:rsidR="00314D0E"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(c)</w:t>
      </w:r>
      <w:r w:rsidRPr="00446829">
        <w:rPr>
          <w:rFonts w:ascii="Times New Roman" w:eastAsia="PMingLiU" w:hAnsi="Times New Roman" w:cs="Times New Roman"/>
        </w:rPr>
        <w:tab/>
      </w:r>
      <w:r w:rsidRPr="00446829">
        <w:rPr>
          <w:rFonts w:ascii="Times New Roman" w:eastAsia="PMingLiU" w:hAnsi="Times New Roman" w:cs="Times New Roman"/>
          <w:b/>
          <w:bCs/>
        </w:rPr>
        <w:t>Citations incorporated.</w:t>
      </w:r>
      <w:r w:rsidRPr="00446829">
        <w:rPr>
          <w:rFonts w:ascii="Times New Roman" w:eastAsia="PMingLiU" w:hAnsi="Times New Roman" w:cs="Times New Roman"/>
        </w:rPr>
        <w:t xml:space="preserve">  When a provision of the Code of Federal Regulations is incorporated by reference, all citations contained therein are also incorporated by reference.</w:t>
      </w:r>
    </w:p>
    <w:p w14:paraId="7DF7F2BD" w14:textId="77777777" w:rsidR="004B630F" w:rsidRPr="004B630F" w:rsidRDefault="004B630F"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b/>
          <w:bCs/>
        </w:rPr>
      </w:pPr>
    </w:p>
    <w:p w14:paraId="58564CD7" w14:textId="36CBEE59" w:rsidR="00314D0E" w:rsidRPr="004B630F" w:rsidRDefault="004B630F" w:rsidP="004B63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Times New Roman" w:eastAsia="PMingLiU" w:hAnsi="Times New Roman" w:cs="Times New Roman"/>
          <w:b/>
          <w:bCs/>
        </w:rPr>
      </w:pPr>
      <w:r w:rsidRPr="004B630F">
        <w:rPr>
          <w:rFonts w:ascii="Times New Roman" w:eastAsia="PMingLiU" w:hAnsi="Times New Roman" w:cs="Times New Roman"/>
          <w:b/>
          <w:bCs/>
        </w:rPr>
        <w:t>SUBCHAPTER 10.  RADIOACTIVE MATERIALS PROGRAM</w:t>
      </w:r>
    </w:p>
    <w:p w14:paraId="370CA4B9" w14:textId="77777777" w:rsidR="004B630F" w:rsidRDefault="004B630F"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p>
    <w:p w14:paraId="439DAFCC" w14:textId="09946AD8" w:rsidR="0043190F" w:rsidRDefault="0043190F" w:rsidP="0043190F">
      <w:pPr>
        <w:tabs>
          <w:tab w:val="left" w:pos="360"/>
          <w:tab w:val="left" w:pos="720"/>
          <w:tab w:val="left" w:pos="1080"/>
          <w:tab w:val="left" w:pos="1440"/>
          <w:tab w:val="left" w:pos="1800"/>
          <w:tab w:val="left" w:pos="2340"/>
        </w:tabs>
        <w:ind w:left="2340"/>
        <w:jc w:val="both"/>
        <w:rPr>
          <w:rFonts w:ascii="Times New Roman" w:eastAsia="PMingLiU" w:hAnsi="Times New Roman" w:cs="Times New Roman"/>
          <w:b/>
          <w:bCs/>
        </w:rPr>
      </w:pPr>
      <w:r w:rsidRPr="0043190F">
        <w:rPr>
          <w:rFonts w:ascii="Times New Roman" w:eastAsia="PMingLiU" w:hAnsi="Times New Roman" w:cs="Times New Roman"/>
          <w:b/>
          <w:bCs/>
        </w:rPr>
        <w:t xml:space="preserve">PART 1.     GENERAL PROVISIONS </w:t>
      </w:r>
    </w:p>
    <w:p w14:paraId="1E2AB970" w14:textId="1953C746" w:rsidR="0043190F" w:rsidRPr="0043190F" w:rsidRDefault="0043190F" w:rsidP="0043190F">
      <w:pPr>
        <w:tabs>
          <w:tab w:val="left" w:pos="360"/>
          <w:tab w:val="left" w:pos="720"/>
          <w:tab w:val="left" w:pos="1080"/>
          <w:tab w:val="left" w:pos="1440"/>
          <w:tab w:val="left" w:pos="1800"/>
          <w:tab w:val="left" w:pos="2340"/>
        </w:tabs>
        <w:ind w:left="2340"/>
        <w:jc w:val="both"/>
        <w:rPr>
          <w:rFonts w:ascii="Times New Roman" w:eastAsia="PMingLiU" w:hAnsi="Times New Roman" w:cs="Times New Roman"/>
          <w:b/>
          <w:bCs/>
        </w:rPr>
      </w:pPr>
    </w:p>
    <w:p w14:paraId="17E762E9" w14:textId="77777777" w:rsidR="0043190F" w:rsidRPr="0043190F" w:rsidRDefault="0043190F" w:rsidP="0043190F">
      <w:pPr>
        <w:pStyle w:val="ListParagraph"/>
        <w:tabs>
          <w:tab w:val="left" w:pos="360"/>
          <w:tab w:val="left" w:pos="720"/>
          <w:tab w:val="left" w:pos="1080"/>
          <w:tab w:val="left" w:pos="1440"/>
          <w:tab w:val="left" w:pos="1800"/>
          <w:tab w:val="left" w:pos="2340"/>
        </w:tabs>
        <w:ind w:left="2700" w:hanging="2700"/>
        <w:jc w:val="both"/>
        <w:rPr>
          <w:rFonts w:ascii="Times New Roman" w:eastAsia="PMingLiU" w:hAnsi="Times New Roman" w:cs="Times New Roman"/>
          <w:b/>
          <w:bCs/>
        </w:rPr>
      </w:pPr>
      <w:r w:rsidRPr="0043190F">
        <w:rPr>
          <w:rFonts w:ascii="Times New Roman" w:eastAsia="PMingLiU" w:hAnsi="Times New Roman" w:cs="Times New Roman"/>
          <w:b/>
          <w:bCs/>
        </w:rPr>
        <w:t xml:space="preserve">252:410-10-1. Radioactive Materials Program </w:t>
      </w:r>
    </w:p>
    <w:p w14:paraId="1A9377C4" w14:textId="77777777" w:rsidR="0043190F" w:rsidRPr="0043190F" w:rsidRDefault="0043190F" w:rsidP="0043190F">
      <w:pPr>
        <w:pStyle w:val="ListParagraph"/>
        <w:tabs>
          <w:tab w:val="left" w:pos="360"/>
          <w:tab w:val="left" w:pos="720"/>
          <w:tab w:val="left" w:pos="1080"/>
          <w:tab w:val="left" w:pos="1440"/>
          <w:tab w:val="left" w:pos="1800"/>
          <w:tab w:val="left" w:pos="2340"/>
        </w:tabs>
        <w:ind w:left="1260" w:hanging="1260"/>
        <w:jc w:val="both"/>
        <w:rPr>
          <w:rFonts w:ascii="Times New Roman" w:eastAsia="PMingLiU" w:hAnsi="Times New Roman" w:cs="Times New Roman"/>
          <w:b/>
          <w:bCs/>
        </w:rPr>
      </w:pPr>
      <w:r w:rsidRPr="0043190F">
        <w:rPr>
          <w:rFonts w:ascii="Times New Roman" w:eastAsia="PMingLiU" w:hAnsi="Times New Roman" w:cs="Times New Roman"/>
          <w:b/>
          <w:bCs/>
        </w:rPr>
        <w:t xml:space="preserve">(a) Scope. </w:t>
      </w:r>
    </w:p>
    <w:p w14:paraId="42B99EBE" w14:textId="77777777" w:rsidR="0043190F" w:rsidRDefault="0043190F" w:rsidP="0043190F">
      <w:pPr>
        <w:pStyle w:val="ListParagraph"/>
        <w:tabs>
          <w:tab w:val="left" w:pos="360"/>
          <w:tab w:val="left" w:pos="720"/>
          <w:tab w:val="left" w:pos="1080"/>
          <w:tab w:val="left" w:pos="1440"/>
          <w:tab w:val="left" w:pos="1800"/>
          <w:tab w:val="left" w:pos="2340"/>
        </w:tabs>
        <w:ind w:hanging="720"/>
        <w:jc w:val="both"/>
        <w:rPr>
          <w:rFonts w:ascii="Times New Roman" w:eastAsia="PMingLiU" w:hAnsi="Times New Roman" w:cs="Times New Roman"/>
        </w:rPr>
      </w:pPr>
      <w:r>
        <w:rPr>
          <w:rFonts w:ascii="Times New Roman" w:eastAsia="PMingLiU" w:hAnsi="Times New Roman" w:cs="Times New Roman"/>
        </w:rPr>
        <w:tab/>
      </w:r>
      <w:r w:rsidRPr="0043190F">
        <w:rPr>
          <w:rFonts w:ascii="Times New Roman" w:eastAsia="PMingLiU" w:hAnsi="Times New Roman" w:cs="Times New Roman"/>
        </w:rPr>
        <w:t xml:space="preserve">(1) The rules in this Subchapter establish license requirements for the following categories of radioactive materials: byproduct material, source material and special nuclear material. </w:t>
      </w:r>
    </w:p>
    <w:p w14:paraId="46B833F2" w14:textId="1CAAC475" w:rsidR="00A45AFF" w:rsidRDefault="0043190F" w:rsidP="0043190F">
      <w:pPr>
        <w:pStyle w:val="ListParagraph"/>
        <w:tabs>
          <w:tab w:val="left" w:pos="360"/>
          <w:tab w:val="left" w:pos="720"/>
          <w:tab w:val="left" w:pos="1080"/>
          <w:tab w:val="left" w:pos="1440"/>
          <w:tab w:val="left" w:pos="1800"/>
          <w:tab w:val="left" w:pos="2340"/>
        </w:tabs>
        <w:ind w:hanging="720"/>
        <w:jc w:val="both"/>
        <w:rPr>
          <w:rFonts w:ascii="Times New Roman" w:eastAsia="PMingLiU" w:hAnsi="Times New Roman" w:cs="Times New Roman"/>
        </w:rPr>
      </w:pPr>
      <w:r>
        <w:rPr>
          <w:rFonts w:ascii="Times New Roman" w:eastAsia="PMingLiU" w:hAnsi="Times New Roman" w:cs="Times New Roman"/>
        </w:rPr>
        <w:tab/>
      </w:r>
      <w:r w:rsidRPr="0043190F">
        <w:rPr>
          <w:rFonts w:ascii="Times New Roman" w:eastAsia="PMingLiU" w:hAnsi="Times New Roman" w:cs="Times New Roman"/>
        </w:rPr>
        <w:t xml:space="preserve">(2) License requirements incorporated by reference from 10 CFR are applicable requirements for all categories of radioactive materials within the scope of this Subchapter. </w:t>
      </w:r>
    </w:p>
    <w:p w14:paraId="44D9E949" w14:textId="77777777" w:rsidR="0081434E" w:rsidRPr="00446829" w:rsidRDefault="0081434E" w:rsidP="0081434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(b)</w:t>
      </w:r>
      <w:r w:rsidRPr="00446829">
        <w:rPr>
          <w:rFonts w:ascii="Times New Roman" w:eastAsia="PMingLiU" w:hAnsi="Times New Roman" w:cs="Times New Roman"/>
        </w:rPr>
        <w:tab/>
      </w:r>
      <w:r w:rsidRPr="00446829">
        <w:rPr>
          <w:rFonts w:ascii="Times New Roman" w:eastAsia="PMingLiU" w:hAnsi="Times New Roman" w:cs="Times New Roman"/>
          <w:b/>
          <w:bCs/>
        </w:rPr>
        <w:t>Exclusions.</w:t>
      </w:r>
      <w:r>
        <w:rPr>
          <w:rFonts w:ascii="Times New Roman" w:eastAsia="PMingLiU" w:hAnsi="Times New Roman" w:cs="Times New Roman"/>
        </w:rPr>
        <w:t xml:space="preserve">  </w:t>
      </w:r>
      <w:r w:rsidRPr="00446829">
        <w:rPr>
          <w:rFonts w:ascii="Times New Roman" w:eastAsia="PMingLiU" w:hAnsi="Times New Roman" w:cs="Times New Roman"/>
        </w:rPr>
        <w:t>Responsibility for the following regulatory requirements remains with the NRC:</w:t>
      </w:r>
    </w:p>
    <w:p w14:paraId="76D75F2C" w14:textId="37842AD6" w:rsidR="0081434E" w:rsidRPr="00294F06" w:rsidRDefault="0081434E" w:rsidP="0081434E">
      <w:pPr>
        <w:tabs>
          <w:tab w:val="left" w:pos="360"/>
          <w:tab w:val="left" w:pos="720"/>
          <w:tab w:val="left" w:pos="1080"/>
          <w:tab w:val="left" w:pos="1440"/>
          <w:tab w:val="left" w:pos="1800"/>
        </w:tabs>
        <w:ind w:left="360"/>
        <w:jc w:val="both"/>
        <w:rPr>
          <w:rFonts w:ascii="Times New Roman" w:eastAsia="PMingLiU" w:hAnsi="Times New Roman" w:cs="Times New Roman"/>
        </w:rPr>
      </w:pPr>
      <w:r w:rsidRPr="00294F06">
        <w:rPr>
          <w:rFonts w:ascii="Times New Roman" w:eastAsia="PMingLiU" w:hAnsi="Times New Roman" w:cs="Times New Roman"/>
        </w:rPr>
        <w:t>(1)</w:t>
      </w:r>
      <w:r w:rsidRPr="00294F06">
        <w:rPr>
          <w:rFonts w:ascii="Times New Roman" w:eastAsia="PMingLiU" w:hAnsi="Times New Roman" w:cs="Times New Roman"/>
        </w:rPr>
        <w:tab/>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20.</w:t>
      </w:r>
      <w:r w:rsidRPr="00294F06">
        <w:rPr>
          <w:rFonts w:ascii="Times New Roman" w:eastAsia="PMingLiU" w:hAnsi="Times New Roman" w:cs="Times New Roman"/>
        </w:rPr>
        <w:t xml:space="preserve">  Exemptions to labeling requirements, § 20.1905(g); Reports of exposures, radiation levels, and concentrations of radioactive material exceeding the constraints or limits at nuclear power plants, § 20.2203(c); Reports of individual monitoring, § 20.2206(a)(1), (a)(3), (a)(4) and (a)(5</w:t>
      </w:r>
      <w:proofErr w:type="gramStart"/>
      <w:r w:rsidRPr="00294F06">
        <w:rPr>
          <w:rFonts w:ascii="Times New Roman" w:eastAsia="PMingLiU" w:hAnsi="Times New Roman" w:cs="Times New Roman"/>
        </w:rPr>
        <w:t>);</w:t>
      </w:r>
      <w:proofErr w:type="gramEnd"/>
    </w:p>
    <w:p w14:paraId="3F6B0A07" w14:textId="646C2DF4"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eastAsia="PMingLiU" w:hAnsi="Times New Roman" w:cs="Times New Roman"/>
        </w:rPr>
      </w:pPr>
      <w:r w:rsidRPr="00294F06">
        <w:rPr>
          <w:rFonts w:ascii="Times New Roman" w:eastAsia="PMingLiU" w:hAnsi="Times New Roman" w:cs="Times New Roman"/>
        </w:rPr>
        <w:t>(2)</w:t>
      </w:r>
      <w:r w:rsidRPr="00294F06">
        <w:rPr>
          <w:rFonts w:ascii="Times New Roman" w:eastAsia="PMingLiU" w:hAnsi="Times New Roman" w:cs="Times New Roman"/>
        </w:rPr>
        <w:tab/>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30.</w:t>
      </w:r>
      <w:r w:rsidRPr="00294F06">
        <w:rPr>
          <w:rFonts w:ascii="Times New Roman" w:eastAsia="PMingLiU" w:hAnsi="Times New Roman" w:cs="Times New Roman"/>
        </w:rPr>
        <w:t xml:space="preserve">  Activities requiring license, § 30.3(b); Definitions, 30.4 "Commencement of </w:t>
      </w:r>
      <w:r>
        <w:rPr>
          <w:rFonts w:ascii="Times New Roman" w:eastAsia="PMingLiU" w:hAnsi="Times New Roman" w:cs="Times New Roman"/>
        </w:rPr>
        <w:t xml:space="preserve">construction" paragraph (2), </w:t>
      </w:r>
      <w:r w:rsidRPr="00294F06">
        <w:rPr>
          <w:rFonts w:ascii="Times New Roman" w:eastAsia="PMingLiU" w:hAnsi="Times New Roman" w:cs="Times New Roman"/>
        </w:rPr>
        <w:t>"C</w:t>
      </w:r>
      <w:r>
        <w:rPr>
          <w:rFonts w:ascii="Times New Roman" w:eastAsia="PMingLiU" w:hAnsi="Times New Roman" w:cs="Times New Roman"/>
        </w:rPr>
        <w:t xml:space="preserve">onstruction" paragraph (9)(ii), and "Quantities of concern"; Application for specific licenses, </w:t>
      </w:r>
      <w:r w:rsidRPr="00294F06">
        <w:rPr>
          <w:rFonts w:ascii="Times New Roman" w:eastAsia="PMingLiU" w:hAnsi="Times New Roman" w:cs="Times New Roman"/>
        </w:rPr>
        <w:t>§</w:t>
      </w:r>
      <w:r>
        <w:rPr>
          <w:rFonts w:ascii="Times New Roman" w:eastAsia="PMingLiU" w:hAnsi="Times New Roman" w:cs="Times New Roman"/>
        </w:rPr>
        <w:t xml:space="preserve"> 30.32(k); </w:t>
      </w:r>
      <w:r w:rsidRPr="00294F06">
        <w:rPr>
          <w:rFonts w:ascii="Times New Roman" w:eastAsia="PMingLiU" w:hAnsi="Times New Roman" w:cs="Times New Roman"/>
        </w:rPr>
        <w:t>Terms and conditions of li</w:t>
      </w:r>
      <w:r>
        <w:rPr>
          <w:rFonts w:ascii="Times New Roman" w:eastAsia="PMingLiU" w:hAnsi="Times New Roman" w:cs="Times New Roman"/>
        </w:rPr>
        <w:t xml:space="preserve">censes, § 30.34 (d), (e)(1), </w:t>
      </w:r>
      <w:r w:rsidRPr="00294F06">
        <w:rPr>
          <w:rFonts w:ascii="Times New Roman" w:eastAsia="PMingLiU" w:hAnsi="Times New Roman" w:cs="Times New Roman"/>
        </w:rPr>
        <w:t>(e)(3)</w:t>
      </w:r>
      <w:r>
        <w:rPr>
          <w:rFonts w:ascii="Times New Roman" w:eastAsia="PMingLiU" w:hAnsi="Times New Roman" w:cs="Times New Roman"/>
        </w:rPr>
        <w:t xml:space="preserve"> and (1)</w:t>
      </w:r>
      <w:r w:rsidRPr="00294F06">
        <w:rPr>
          <w:rFonts w:ascii="Times New Roman" w:eastAsia="PMingLiU" w:hAnsi="Times New Roman" w:cs="Times New Roman"/>
        </w:rPr>
        <w:t xml:space="preserve">; Transfer of byproduct material, § 30.41 (b)(6); Tritium reports, § </w:t>
      </w:r>
      <w:proofErr w:type="gramStart"/>
      <w:r w:rsidRPr="00294F06">
        <w:rPr>
          <w:rFonts w:ascii="Times New Roman" w:eastAsia="PMingLiU" w:hAnsi="Times New Roman" w:cs="Times New Roman"/>
        </w:rPr>
        <w:t>30.55;</w:t>
      </w:r>
      <w:proofErr w:type="gramEnd"/>
    </w:p>
    <w:p w14:paraId="086C8FE1" w14:textId="792C48F4" w:rsidR="0081434E" w:rsidRPr="00294F06" w:rsidRDefault="0081434E" w:rsidP="0081434E">
      <w:pPr>
        <w:tabs>
          <w:tab w:val="left" w:pos="360"/>
          <w:tab w:val="left" w:pos="720"/>
          <w:tab w:val="left" w:pos="1080"/>
          <w:tab w:val="left" w:pos="1440"/>
          <w:tab w:val="left" w:pos="1800"/>
        </w:tabs>
        <w:ind w:left="360"/>
        <w:jc w:val="both"/>
        <w:rPr>
          <w:rFonts w:ascii="Times New Roman" w:eastAsia="PMingLiU" w:hAnsi="Times New Roman" w:cs="Times New Roman"/>
        </w:rPr>
      </w:pPr>
      <w:r w:rsidRPr="00294F06">
        <w:rPr>
          <w:rFonts w:ascii="Times New Roman" w:eastAsia="PMingLiU" w:hAnsi="Times New Roman" w:cs="Times New Roman"/>
        </w:rPr>
        <w:t>(3)</w:t>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32.</w:t>
      </w:r>
      <w:r w:rsidRPr="00294F06">
        <w:rPr>
          <w:rFonts w:ascii="Times New Roman" w:eastAsia="PMingLiU" w:hAnsi="Times New Roman" w:cs="Times New Roman"/>
        </w:rPr>
        <w:t xml:space="preserve">  Purpose and scope, § 32.1(c)(1); Subpart A, Exempt concentrations and items, §§ 32.11, 32.12, 32.14, 32.15, 32.16, 32.18 through 32.23, and 32.25 through 32.29; Subpart D, </w:t>
      </w:r>
      <w:proofErr w:type="gramStart"/>
      <w:r w:rsidRPr="00294F06">
        <w:rPr>
          <w:rFonts w:ascii="Times New Roman" w:eastAsia="PMingLiU" w:hAnsi="Times New Roman" w:cs="Times New Roman"/>
        </w:rPr>
        <w:t>Specifically</w:t>
      </w:r>
      <w:proofErr w:type="gramEnd"/>
      <w:r w:rsidRPr="00294F06">
        <w:rPr>
          <w:rFonts w:ascii="Times New Roman" w:eastAsia="PMingLiU" w:hAnsi="Times New Roman" w:cs="Times New Roman"/>
        </w:rPr>
        <w:t xml:space="preserve"> licensed items, § 32.210;</w:t>
      </w:r>
    </w:p>
    <w:p w14:paraId="47D85C57" w14:textId="32F7A73C" w:rsidR="0081434E" w:rsidRPr="00294F06" w:rsidRDefault="0081434E" w:rsidP="0081434E">
      <w:pPr>
        <w:tabs>
          <w:tab w:val="left" w:pos="360"/>
          <w:tab w:val="left" w:pos="720"/>
          <w:tab w:val="left" w:pos="1080"/>
          <w:tab w:val="left" w:pos="1440"/>
          <w:tab w:val="left" w:pos="1800"/>
        </w:tabs>
        <w:ind w:left="360"/>
        <w:jc w:val="both"/>
        <w:rPr>
          <w:rFonts w:ascii="Times New Roman" w:eastAsia="PMingLiU" w:hAnsi="Times New Roman" w:cs="Times New Roman"/>
        </w:rPr>
      </w:pPr>
      <w:r w:rsidRPr="00294F06">
        <w:rPr>
          <w:rFonts w:ascii="Times New Roman" w:eastAsia="PMingLiU" w:hAnsi="Times New Roman" w:cs="Times New Roman"/>
        </w:rPr>
        <w:t>(4)</w:t>
      </w:r>
      <w:r w:rsidR="00BE3A73">
        <w:rPr>
          <w:rFonts w:ascii="Times New Roman" w:eastAsia="PMingLiU" w:hAnsi="Times New Roman" w:cs="Times New Roman"/>
        </w:rPr>
        <w:t xml:space="preserve"> </w:t>
      </w:r>
      <w:r w:rsidRPr="00294F06">
        <w:rPr>
          <w:rFonts w:ascii="Times New Roman" w:eastAsia="PMingLiU" w:hAnsi="Times New Roman" w:cs="Times New Roman"/>
        </w:rPr>
        <w:tab/>
      </w:r>
      <w:r w:rsidR="00BE3A73">
        <w:rPr>
          <w:rFonts w:ascii="Times New Roman" w:eastAsia="PMingLiU" w:hAnsi="Times New Roman" w:cs="Times New Roman"/>
        </w:rPr>
        <w:t xml:space="preserve"> </w:t>
      </w:r>
      <w:r w:rsidRPr="00294F06">
        <w:rPr>
          <w:rFonts w:ascii="Times New Roman" w:eastAsia="PMingLiU" w:hAnsi="Times New Roman" w:cs="Times New Roman"/>
          <w:b/>
          <w:bCs/>
        </w:rPr>
        <w:t xml:space="preserve">In 10 CFR 35. </w:t>
      </w:r>
      <w:r w:rsidRPr="00294F06">
        <w:rPr>
          <w:rFonts w:ascii="Times New Roman" w:eastAsia="PMingLiU" w:hAnsi="Times New Roman" w:cs="Times New Roman"/>
        </w:rPr>
        <w:t xml:space="preserve"> License required, § 35.11(c)(1); License amendments, § 35.13(a)(1</w:t>
      </w:r>
      <w:proofErr w:type="gramStart"/>
      <w:r w:rsidRPr="00294F06">
        <w:rPr>
          <w:rFonts w:ascii="Times New Roman" w:eastAsia="PMingLiU" w:hAnsi="Times New Roman" w:cs="Times New Roman"/>
        </w:rPr>
        <w:t>);</w:t>
      </w:r>
      <w:proofErr w:type="gramEnd"/>
      <w:r w:rsidRPr="00294F06">
        <w:rPr>
          <w:rFonts w:ascii="Times New Roman" w:eastAsia="PMingLiU" w:hAnsi="Times New Roman" w:cs="Times New Roman"/>
        </w:rPr>
        <w:t xml:space="preserve"> </w:t>
      </w:r>
    </w:p>
    <w:p w14:paraId="525B58E2" w14:textId="194B6B55"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eastAsia="PMingLiU" w:hAnsi="Times New Roman" w:cs="Times New Roman"/>
        </w:rPr>
      </w:pPr>
      <w:r w:rsidRPr="00294F06">
        <w:rPr>
          <w:rFonts w:ascii="Times New Roman" w:eastAsia="PMingLiU" w:hAnsi="Times New Roman" w:cs="Times New Roman"/>
        </w:rPr>
        <w:t>(5)</w:t>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36.</w:t>
      </w:r>
      <w:r w:rsidRPr="006F3CA3">
        <w:rPr>
          <w:rFonts w:ascii="Times New Roman" w:eastAsia="PMingLiU" w:hAnsi="Times New Roman" w:cs="Times New Roman"/>
          <w:b/>
          <w:bCs/>
        </w:rPr>
        <w:t xml:space="preserve">  </w:t>
      </w:r>
      <w:r w:rsidRPr="00294F06">
        <w:rPr>
          <w:rFonts w:ascii="Times New Roman" w:eastAsia="PMingLiU" w:hAnsi="Times New Roman" w:cs="Times New Roman"/>
        </w:rPr>
        <w:t xml:space="preserve">Definitions, 36.2 "Commencement of construction" paragraph 2 and "Construction" paragraph </w:t>
      </w:r>
      <w:proofErr w:type="gramStart"/>
      <w:r w:rsidRPr="00294F06">
        <w:rPr>
          <w:rFonts w:ascii="Times New Roman" w:eastAsia="PMingLiU" w:hAnsi="Times New Roman" w:cs="Times New Roman"/>
        </w:rPr>
        <w:t>9(ii);</w:t>
      </w:r>
      <w:proofErr w:type="gramEnd"/>
    </w:p>
    <w:p w14:paraId="156DC9CB" w14:textId="16E94259"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eastAsia="PMingLiU" w:hAnsi="Times New Roman" w:cs="Times New Roman"/>
        </w:rPr>
      </w:pPr>
      <w:r w:rsidRPr="00294F06">
        <w:rPr>
          <w:rFonts w:ascii="Times New Roman" w:eastAsia="PMingLiU" w:hAnsi="Times New Roman" w:cs="Times New Roman"/>
        </w:rPr>
        <w:t>(6)</w:t>
      </w:r>
      <w:r w:rsidR="00BE3A73">
        <w:rPr>
          <w:rFonts w:ascii="Times New Roman" w:eastAsia="PMingLiU" w:hAnsi="Times New Roman" w:cs="Times New Roman"/>
        </w:rPr>
        <w:t xml:space="preserve">  </w:t>
      </w:r>
      <w:r w:rsidRPr="00294F06">
        <w:rPr>
          <w:rFonts w:ascii="Times New Roman" w:eastAsia="PMingLiU" w:hAnsi="Times New Roman" w:cs="Times New Roman"/>
          <w:b/>
          <w:bCs/>
        </w:rPr>
        <w:t xml:space="preserve">In 10 CFR 37.  </w:t>
      </w:r>
      <w:r w:rsidRPr="00294F06">
        <w:rPr>
          <w:rFonts w:ascii="Times New Roman" w:eastAsia="PMingLiU" w:hAnsi="Times New Roman" w:cs="Times New Roman"/>
        </w:rPr>
        <w:t>General security program requirements, 37.43(d)(9</w:t>
      </w:r>
      <w:proofErr w:type="gramStart"/>
      <w:r>
        <w:rPr>
          <w:rFonts w:ascii="Times New Roman" w:eastAsia="PMingLiU" w:hAnsi="Times New Roman" w:cs="Times New Roman"/>
        </w:rPr>
        <w:t>);</w:t>
      </w:r>
      <w:proofErr w:type="gramEnd"/>
    </w:p>
    <w:p w14:paraId="2FE3359B" w14:textId="1B690F65" w:rsidR="0081434E" w:rsidRPr="00C15AD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C15AD6">
        <w:rPr>
          <w:rFonts w:ascii="Times New Roman" w:eastAsia="PMingLiU" w:hAnsi="Times New Roman" w:cs="Times New Roman"/>
        </w:rPr>
        <w:t>(7)</w:t>
      </w:r>
      <w:r w:rsidR="00BE3A73">
        <w:rPr>
          <w:rFonts w:ascii="Times New Roman" w:eastAsia="PMingLiU" w:hAnsi="Times New Roman" w:cs="Times New Roman"/>
        </w:rPr>
        <w:t xml:space="preserve">  </w:t>
      </w:r>
      <w:r w:rsidRPr="00C15AD6">
        <w:rPr>
          <w:rFonts w:ascii="Times New Roman" w:eastAsia="PMingLiU" w:hAnsi="Times New Roman" w:cs="Times New Roman"/>
          <w:b/>
          <w:bCs/>
        </w:rPr>
        <w:t>In 10 CFR 40.</w:t>
      </w:r>
      <w:r w:rsidRPr="00C15AD6">
        <w:rPr>
          <w:rFonts w:ascii="Times New Roman" w:eastAsia="PMingLiU" w:hAnsi="Times New Roman" w:cs="Times New Roman"/>
        </w:rPr>
        <w:t xml:space="preserve">  General Provisions, §§ 40.2a and 40.3; Definitions, 40.4 "Commencement of construction" paragraph (2) and "Construction" paragraph (9)(ii); Exemptions, §§ 40.11, 40.12 and 40.13 (a), (b), (c)(1) through (4) (c)(5)(iv), (c)(7) through (8), 40.14; General Licenses, §§ 40.20 through 40.24; 40.26 through 40.28; License Applications, §§ 40.31 (f) through (l), §§ 40.32 (d) through (g), §§ 40.33 through 40.35, </w:t>
      </w:r>
      <w:r>
        <w:rPr>
          <w:rFonts w:ascii="Times New Roman" w:eastAsia="PMingLiU" w:hAnsi="Times New Roman" w:cs="Times New Roman"/>
        </w:rPr>
        <w:t xml:space="preserve">   </w:t>
      </w:r>
      <w:r w:rsidRPr="00C15AD6">
        <w:rPr>
          <w:rFonts w:ascii="Times New Roman" w:eastAsia="PMingLiU" w:hAnsi="Times New Roman" w:cs="Times New Roman"/>
        </w:rPr>
        <w:t>§ 40.37, and § 40.38; Licenses, §§ 40.41 (d), (e)(1) and (3), (f) and (g), § 40.42 and § 40.46; Transfer of Source Material, § 40.51 (b)(6); Records, Reports, and Inspections, § 40.60 (c)(3), §§ 40.64 through 40.67; Appendix A;</w:t>
      </w:r>
    </w:p>
    <w:p w14:paraId="3A8C5260" w14:textId="1ADE5386"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eastAsia="PMingLiU" w:hAnsi="Times New Roman" w:cs="Times New Roman"/>
        </w:rPr>
      </w:pPr>
      <w:r w:rsidRPr="00294F06">
        <w:rPr>
          <w:rFonts w:ascii="Times New Roman" w:eastAsia="PMingLiU" w:hAnsi="Times New Roman" w:cs="Times New Roman"/>
        </w:rPr>
        <w:lastRenderedPageBreak/>
        <w:t>(8)</w:t>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61.</w:t>
      </w:r>
      <w:r w:rsidRPr="00294F06">
        <w:rPr>
          <w:rFonts w:ascii="Times New Roman" w:eastAsia="PMingLiU" w:hAnsi="Times New Roman" w:cs="Times New Roman"/>
        </w:rPr>
        <w:t xml:space="preserve">  Other information, § 61.16; Standards for issuance of a license, § 61.23 (</w:t>
      </w:r>
      <w:proofErr w:type="spellStart"/>
      <w:r w:rsidRPr="00294F06">
        <w:rPr>
          <w:rFonts w:ascii="Times New Roman" w:eastAsia="PMingLiU" w:hAnsi="Times New Roman" w:cs="Times New Roman"/>
        </w:rPr>
        <w:t>i</w:t>
      </w:r>
      <w:proofErr w:type="spellEnd"/>
      <w:r w:rsidRPr="00294F06">
        <w:rPr>
          <w:rFonts w:ascii="Times New Roman" w:eastAsia="PMingLiU" w:hAnsi="Times New Roman" w:cs="Times New Roman"/>
        </w:rPr>
        <w:t xml:space="preserve">) and (j) regarding physical security information and criticality safety procedures for special nuclear material possessed prior to </w:t>
      </w:r>
      <w:proofErr w:type="gramStart"/>
      <w:r w:rsidRPr="00294F06">
        <w:rPr>
          <w:rFonts w:ascii="Times New Roman" w:eastAsia="PMingLiU" w:hAnsi="Times New Roman" w:cs="Times New Roman"/>
        </w:rPr>
        <w:t>disposal;</w:t>
      </w:r>
      <w:proofErr w:type="gramEnd"/>
    </w:p>
    <w:p w14:paraId="34410943" w14:textId="5B26169C"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294F06">
        <w:rPr>
          <w:rFonts w:ascii="Times New Roman" w:eastAsia="PMingLiU" w:hAnsi="Times New Roman" w:cs="Times New Roman"/>
        </w:rPr>
        <w:t>(9)</w:t>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70.</w:t>
      </w:r>
      <w:r w:rsidRPr="00294F06">
        <w:rPr>
          <w:rFonts w:ascii="Times New Roman" w:eastAsia="PMingLiU" w:hAnsi="Times New Roman" w:cs="Times New Roman"/>
        </w:rPr>
        <w:t xml:space="preserve">  Regulation of special nuclear material for spent fuel, high level radioactive waste and uranium enrichment facilities, §§ 70.1(c</w:t>
      </w:r>
      <w:proofErr w:type="gramStart"/>
      <w:r w:rsidRPr="00294F06">
        <w:rPr>
          <w:rFonts w:ascii="Times New Roman" w:eastAsia="PMingLiU" w:hAnsi="Times New Roman" w:cs="Times New Roman"/>
        </w:rPr>
        <w:t>),(</w:t>
      </w:r>
      <w:proofErr w:type="gramEnd"/>
      <w:r w:rsidRPr="00294F06">
        <w:rPr>
          <w:rFonts w:ascii="Times New Roman" w:eastAsia="PMingLiU" w:hAnsi="Times New Roman" w:cs="Times New Roman"/>
        </w:rPr>
        <w:t xml:space="preserve">d) and (e); Definitions, </w:t>
      </w:r>
    </w:p>
    <w:p w14:paraId="3E0D27C1" w14:textId="77777777"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294F06">
        <w:rPr>
          <w:rFonts w:ascii="Times New Roman" w:eastAsia="PMingLiU" w:hAnsi="Times New Roman" w:cs="Times New Roman"/>
        </w:rPr>
        <w:t>70.4 "Commencement of construction" paragraph (2) and "Construction" paragraph (9)(ii); Department of Defense, § 70.13; Foreign military aircraft, § 70.14; General license to possess special nuclear material for transport, § 70.20a; General license for carriers of transient shipments of formula quantities of strategic special nuclear material of moderate strategic significance, special nuclear material of low strategic significance, and irradiated reactor fuel regulated under 10 CFR 73, § 70.20b; Subpart D - License Applications, § 70.21(a)(1), (c), (f), (g) and (h); § 70.22 (b), (c) and (f) through (n), § 70.23 (a)(6) through (12) and (b), § 70.23a, and § 70.24; Subpart E - Licenses, § 70.31 (c), (d), and (e), § 70.32 (a)(1), (a)(4) through (7), (b)(1), (b)(3), (b)(4), (c) through (k), and § 70.37; § 70.40; Subpart F - Acquisition, Use and Transfer of Special Nuclear Material, Creditor's Rights, §70.42(b)(6), and § 70.44; Subpart G - Special Nuclear Material Control, Records, Reports and Inspections, § 70.51(c),(d) and (e), § 70.52 through § 70.54, § 70.55(c), § 70.56, and §70.59; Subpart H - Additional Requirements for Certain Licensees Authorized to Possess a Critical Mass of Special Nuclear Material, § 70.60 through 70.76; Subpart I - Modification and Revocation of Licenses, § 70.81 and § 70.82; Subpart J - Enforce</w:t>
      </w:r>
      <w:r>
        <w:rPr>
          <w:rFonts w:ascii="Times New Roman" w:eastAsia="PMingLiU" w:hAnsi="Times New Roman" w:cs="Times New Roman"/>
        </w:rPr>
        <w:t xml:space="preserve">ment, §§ 70.91, </w:t>
      </w:r>
      <w:r w:rsidRPr="00294F06">
        <w:rPr>
          <w:rFonts w:ascii="Times New Roman" w:eastAsia="PMingLiU" w:hAnsi="Times New Roman" w:cs="Times New Roman"/>
        </w:rPr>
        <w:t>70.92</w:t>
      </w:r>
      <w:r>
        <w:rPr>
          <w:rFonts w:ascii="Times New Roman" w:eastAsia="PMingLiU" w:hAnsi="Times New Roman" w:cs="Times New Roman"/>
        </w:rPr>
        <w:t xml:space="preserve"> and Appendix A to Part 70</w:t>
      </w:r>
      <w:r w:rsidRPr="00294F06">
        <w:rPr>
          <w:rFonts w:ascii="Times New Roman" w:eastAsia="PMingLiU" w:hAnsi="Times New Roman" w:cs="Times New Roman"/>
        </w:rPr>
        <w:t>;</w:t>
      </w:r>
    </w:p>
    <w:p w14:paraId="5EC6AB00" w14:textId="02ED032E" w:rsidR="00545071" w:rsidRPr="00A24AC8" w:rsidRDefault="0081434E" w:rsidP="00545071">
      <w:pPr>
        <w:tabs>
          <w:tab w:val="left" w:pos="360"/>
          <w:tab w:val="left" w:pos="720"/>
          <w:tab w:val="left" w:pos="1080"/>
          <w:tab w:val="left" w:pos="1440"/>
          <w:tab w:val="left" w:pos="1800"/>
        </w:tabs>
        <w:ind w:left="360"/>
        <w:jc w:val="both"/>
        <w:rPr>
          <w:rFonts w:ascii="Times New Roman" w:eastAsia="Calibri" w:hAnsi="Times New Roman" w:cs="Times New Roman"/>
          <w:u w:val="single"/>
        </w:rPr>
      </w:pPr>
      <w:r>
        <w:rPr>
          <w:rFonts w:ascii="Times New Roman" w:eastAsia="PMingLiU" w:hAnsi="Times New Roman" w:cs="Times New Roman"/>
        </w:rPr>
        <w:t>(10</w:t>
      </w:r>
      <w:r w:rsidRPr="00294F06">
        <w:rPr>
          <w:rFonts w:ascii="Times New Roman" w:eastAsia="PMingLiU" w:hAnsi="Times New Roman" w:cs="Times New Roman"/>
        </w:rPr>
        <w:t>)</w:t>
      </w:r>
      <w:r w:rsidR="00BE3A73">
        <w:rPr>
          <w:rFonts w:ascii="Times New Roman" w:eastAsia="PMingLiU" w:hAnsi="Times New Roman" w:cs="Times New Roman"/>
          <w:b/>
          <w:bCs/>
        </w:rPr>
        <w:t xml:space="preserve">  </w:t>
      </w:r>
      <w:r w:rsidRPr="00294F06">
        <w:rPr>
          <w:rFonts w:ascii="Times New Roman" w:eastAsia="PMingLiU" w:hAnsi="Times New Roman" w:cs="Times New Roman"/>
          <w:b/>
          <w:bCs/>
        </w:rPr>
        <w:t>In 10 CFR 71.</w:t>
      </w:r>
      <w:r w:rsidRPr="00294F06">
        <w:rPr>
          <w:rFonts w:ascii="Times New Roman" w:eastAsia="PMingLiU" w:hAnsi="Times New Roman" w:cs="Times New Roman"/>
        </w:rPr>
        <w:t xml:space="preserve">  Subpart A - General Provisions, § 71.10; Subpart B - Exemptions, § 71.14(b); </w:t>
      </w:r>
      <w:r>
        <w:rPr>
          <w:rFonts w:ascii="Times New Roman" w:eastAsia="PMingLiU" w:hAnsi="Times New Roman" w:cs="Times New Roman"/>
        </w:rPr>
        <w:t xml:space="preserve">Subpart C - General licenses, </w:t>
      </w:r>
      <w:r w:rsidRPr="00294F06">
        <w:rPr>
          <w:rFonts w:ascii="Times New Roman" w:eastAsia="PMingLiU" w:hAnsi="Times New Roman" w:cs="Times New Roman"/>
        </w:rPr>
        <w:t>§</w:t>
      </w:r>
      <w:r>
        <w:rPr>
          <w:rFonts w:ascii="Times New Roman" w:eastAsia="PMingLiU" w:hAnsi="Times New Roman" w:cs="Times New Roman"/>
        </w:rPr>
        <w:t xml:space="preserve"> 71.19; </w:t>
      </w:r>
      <w:r w:rsidRPr="00294F06">
        <w:rPr>
          <w:rFonts w:ascii="Times New Roman" w:eastAsia="PMingLiU" w:hAnsi="Times New Roman" w:cs="Times New Roman"/>
        </w:rPr>
        <w:t>Subpart D - Application for Package Approval, §§ 71.31 through 71.39; Subpart E - Package Approval Standards, §§ 71.41 through 71.45 and §§ 71.51 through 71.65; Subpart F - Package, Special F</w:t>
      </w:r>
      <w:r>
        <w:rPr>
          <w:rFonts w:ascii="Times New Roman" w:eastAsia="PMingLiU" w:hAnsi="Times New Roman" w:cs="Times New Roman"/>
        </w:rPr>
        <w:t>orm, and LSA-III Tests, §§ 71.70</w:t>
      </w:r>
      <w:r w:rsidRPr="00294F06">
        <w:rPr>
          <w:rFonts w:ascii="Times New Roman" w:eastAsia="PMingLiU" w:hAnsi="Times New Roman" w:cs="Times New Roman"/>
        </w:rPr>
        <w:t xml:space="preserve"> through 71.77; </w:t>
      </w:r>
      <w:r>
        <w:rPr>
          <w:rFonts w:ascii="Times New Roman" w:eastAsia="PMingLiU" w:hAnsi="Times New Roman" w:cs="Times New Roman"/>
        </w:rPr>
        <w:t xml:space="preserve">Subpart G - Operating Controls and Procedures, </w:t>
      </w:r>
      <w:r w:rsidRPr="00294F06">
        <w:rPr>
          <w:rFonts w:ascii="Times New Roman" w:eastAsia="PMingLiU" w:hAnsi="Times New Roman" w:cs="Times New Roman"/>
        </w:rPr>
        <w:t>§</w:t>
      </w:r>
      <w:r>
        <w:rPr>
          <w:rFonts w:ascii="Times New Roman" w:eastAsia="PMingLiU" w:hAnsi="Times New Roman" w:cs="Times New Roman"/>
        </w:rPr>
        <w:t xml:space="preserve"> 71.85(a), (b) and (c) and </w:t>
      </w:r>
      <w:r w:rsidRPr="00294F06">
        <w:rPr>
          <w:rFonts w:ascii="Times New Roman" w:eastAsia="PMingLiU" w:hAnsi="Times New Roman" w:cs="Times New Roman"/>
        </w:rPr>
        <w:t>§</w:t>
      </w:r>
      <w:r>
        <w:rPr>
          <w:rFonts w:ascii="Times New Roman" w:eastAsia="PMingLiU" w:hAnsi="Times New Roman" w:cs="Times New Roman"/>
        </w:rPr>
        <w:t xml:space="preserve"> 71.91(b); </w:t>
      </w:r>
      <w:r w:rsidRPr="00294F06">
        <w:rPr>
          <w:rFonts w:ascii="Times New Roman" w:eastAsia="PMingLiU" w:hAnsi="Times New Roman" w:cs="Times New Roman"/>
        </w:rPr>
        <w:t>Subpart H - Quality Assurance, § 71.101(c)(2), (d), and (e) and §§ 71.107 through 71.125;</w:t>
      </w:r>
      <w:r>
        <w:rPr>
          <w:rFonts w:ascii="Times New Roman" w:eastAsia="PMingLiU" w:hAnsi="Times New Roman" w:cs="Times New Roman"/>
        </w:rPr>
        <w:t xml:space="preserve"> </w:t>
      </w:r>
      <w:r w:rsidRPr="00FE5426">
        <w:rPr>
          <w:rFonts w:ascii="Times New Roman" w:eastAsia="PMingLiU" w:hAnsi="Times New Roman" w:cs="Times New Roman"/>
          <w:u w:val="single"/>
        </w:rPr>
        <w:t>the phrases</w:t>
      </w:r>
      <w:r w:rsidRPr="00FE5426">
        <w:rPr>
          <w:rFonts w:ascii="Times New Roman" w:eastAsia="Calibri" w:hAnsi="Times New Roman" w:cs="Times New Roman"/>
          <w:u w:val="single"/>
        </w:rPr>
        <w:t xml:space="preserve"> “</w:t>
      </w:r>
      <w:r w:rsidRPr="00A45AFF">
        <w:rPr>
          <w:rFonts w:ascii="Times New Roman" w:eastAsia="Calibri" w:hAnsi="Times New Roman" w:cs="Times New Roman"/>
          <w:u w:val="single"/>
        </w:rPr>
        <w:t>certificate holder” and “applicant for a certificate of compliance”</w:t>
      </w:r>
      <w:r w:rsidR="00851600">
        <w:rPr>
          <w:rFonts w:ascii="Times New Roman" w:eastAsia="Calibri" w:hAnsi="Times New Roman" w:cs="Times New Roman"/>
          <w:u w:val="single"/>
        </w:rPr>
        <w:t xml:space="preserve"> </w:t>
      </w:r>
      <w:r w:rsidR="00545071">
        <w:rPr>
          <w:rFonts w:ascii="Times New Roman" w:eastAsia="Calibri" w:hAnsi="Times New Roman" w:cs="Times New Roman"/>
          <w:u w:val="single"/>
        </w:rPr>
        <w:t xml:space="preserve">as referenced in </w:t>
      </w:r>
      <w:r w:rsidR="00545071" w:rsidRPr="00A24AC8">
        <w:rPr>
          <w:rFonts w:ascii="Times New Roman" w:eastAsia="Calibri" w:hAnsi="Times New Roman" w:cs="Times New Roman"/>
          <w:u w:val="single"/>
        </w:rPr>
        <w:t>10 CFR</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 xml:space="preserve"> 71.91(c) and (d), </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 xml:space="preserve">71.101(a), </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 xml:space="preserve">71.101(b) and (c)(1), </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 xml:space="preserve">71.103(a), </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 xml:space="preserve">71.106, and </w:t>
      </w:r>
      <w:r w:rsidR="00545071">
        <w:rPr>
          <w:rFonts w:ascii="Times New Roman" w:eastAsia="Calibri" w:hAnsi="Times New Roman" w:cs="Times New Roman"/>
          <w:u w:val="single"/>
        </w:rPr>
        <w:t xml:space="preserve">§ </w:t>
      </w:r>
      <w:r w:rsidR="00545071" w:rsidRPr="00A24AC8">
        <w:rPr>
          <w:rFonts w:ascii="Times New Roman" w:eastAsia="Calibri" w:hAnsi="Times New Roman" w:cs="Times New Roman"/>
          <w:u w:val="single"/>
        </w:rPr>
        <w:t>71.135</w:t>
      </w:r>
      <w:r w:rsidR="00545071" w:rsidRPr="00A45AFF">
        <w:rPr>
          <w:rFonts w:ascii="Times New Roman" w:eastAsia="Calibri" w:hAnsi="Times New Roman" w:cs="Times New Roman"/>
          <w:u w:val="single"/>
        </w:rPr>
        <w:t>.</w:t>
      </w:r>
    </w:p>
    <w:p w14:paraId="35A8FC12" w14:textId="527E9DF3" w:rsidR="0081434E" w:rsidRPr="00294F06"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294F06">
        <w:rPr>
          <w:rFonts w:ascii="Times New Roman" w:eastAsia="PMingLiU" w:hAnsi="Times New Roman" w:cs="Times New Roman"/>
        </w:rPr>
        <w:t>(11)</w:t>
      </w:r>
      <w:r w:rsidR="00BE3A73">
        <w:rPr>
          <w:rFonts w:ascii="Times New Roman" w:eastAsia="PMingLiU" w:hAnsi="Times New Roman" w:cs="Times New Roman"/>
        </w:rPr>
        <w:t xml:space="preserve">  </w:t>
      </w:r>
      <w:r w:rsidRPr="00294F06">
        <w:rPr>
          <w:rFonts w:ascii="Times New Roman" w:eastAsia="PMingLiU" w:hAnsi="Times New Roman" w:cs="Times New Roman"/>
          <w:b/>
          <w:bCs/>
        </w:rPr>
        <w:t>In 10 CFR 150.</w:t>
      </w:r>
      <w:r w:rsidRPr="00294F06">
        <w:rPr>
          <w:rFonts w:ascii="Times New Roman" w:eastAsia="PMingLiU" w:hAnsi="Times New Roman" w:cs="Times New Roman"/>
        </w:rPr>
        <w:t xml:space="preserve">  Persons in offshore waters not exempt, § 150.7; Persons in agreement states exempt, § 150.10; Commission regulatory authority for physical protection in agreement states, § 150.14; </w:t>
      </w:r>
      <w:r>
        <w:rPr>
          <w:rFonts w:ascii="Times New Roman" w:eastAsia="PMingLiU" w:hAnsi="Times New Roman" w:cs="Times New Roman"/>
        </w:rPr>
        <w:t xml:space="preserve">Persons not exempt, </w:t>
      </w:r>
      <w:r w:rsidRPr="00294F06">
        <w:rPr>
          <w:rFonts w:ascii="Times New Roman" w:eastAsia="PMingLiU" w:hAnsi="Times New Roman" w:cs="Times New Roman"/>
        </w:rPr>
        <w:t>§</w:t>
      </w:r>
      <w:r>
        <w:rPr>
          <w:rFonts w:ascii="Times New Roman" w:eastAsia="PMingLiU" w:hAnsi="Times New Roman" w:cs="Times New Roman"/>
        </w:rPr>
        <w:t xml:space="preserve"> 150.15(a)(9); Continued Commission authority pertaining to byproduct material, </w:t>
      </w:r>
      <w:r w:rsidRPr="00294F06">
        <w:rPr>
          <w:rFonts w:ascii="Times New Roman" w:eastAsia="PMingLiU" w:hAnsi="Times New Roman" w:cs="Times New Roman"/>
        </w:rPr>
        <w:t>§</w:t>
      </w:r>
      <w:r>
        <w:rPr>
          <w:rFonts w:ascii="Times New Roman" w:eastAsia="PMingLiU" w:hAnsi="Times New Roman" w:cs="Times New Roman"/>
        </w:rPr>
        <w:t xml:space="preserve"> 150.15a(b)(6); </w:t>
      </w:r>
      <w:r w:rsidRPr="00294F06">
        <w:rPr>
          <w:rFonts w:ascii="Times New Roman" w:eastAsia="PMingLiU" w:hAnsi="Times New Roman" w:cs="Times New Roman"/>
        </w:rPr>
        <w:t>Persons in agreement states not exempt, Continued Commission authority pertaining to byproduct material in agreement states, § 150.17; Compliance with requirements of US/IAEA safeguards agreement for source material under state agreement license; Submission to Commission of reports for tritium in agreement states, § 150.19; Transportation by aircraft of special nuclear material by agreement state licensee, § 150.21; Violations, § 150.30; Requirements for Agreement State regulation of byproduct material, § 150.31; Funds for reclamation or maintenance of byproduct material, §150.32; and Criminal penalties, § 150.33.</w:t>
      </w:r>
    </w:p>
    <w:p w14:paraId="2EDB05A6" w14:textId="47C22ECB" w:rsidR="0081434E" w:rsidRDefault="0081434E" w:rsidP="00814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294F06">
        <w:rPr>
          <w:rFonts w:ascii="Times New Roman" w:eastAsia="PMingLiU" w:hAnsi="Times New Roman" w:cs="Times New Roman"/>
        </w:rPr>
        <w:t>(c)</w:t>
      </w:r>
      <w:r w:rsidR="00BE3A73">
        <w:rPr>
          <w:rFonts w:ascii="Times New Roman" w:eastAsia="PMingLiU" w:hAnsi="Times New Roman" w:cs="Times New Roman"/>
        </w:rPr>
        <w:t xml:space="preserve">  </w:t>
      </w:r>
      <w:r w:rsidRPr="00294F06">
        <w:rPr>
          <w:rFonts w:ascii="Times New Roman" w:eastAsia="PMingLiU" w:hAnsi="Times New Roman" w:cs="Times New Roman"/>
          <w:b/>
          <w:bCs/>
        </w:rPr>
        <w:t>Effective date.</w:t>
      </w:r>
      <w:r w:rsidRPr="00294F06">
        <w:rPr>
          <w:rFonts w:ascii="Times New Roman" w:eastAsia="PMingLiU" w:hAnsi="Times New Roman" w:cs="Times New Roman"/>
        </w:rPr>
        <w:t xml:space="preserve">  The requirements of this Subchapter became effective September 29, 2000, the date upon which jurisdiction over all unrevoked and unexpired NRC licenses and plan approvals was transferred to DEQ.</w:t>
      </w:r>
    </w:p>
    <w:sectPr w:rsidR="0081434E" w:rsidSect="00693793">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5343" w14:textId="77777777" w:rsidR="002A1B36" w:rsidRDefault="002A1B36" w:rsidP="004032C7">
      <w:r>
        <w:separator/>
      </w:r>
    </w:p>
  </w:endnote>
  <w:endnote w:type="continuationSeparator" w:id="0">
    <w:p w14:paraId="143CD882" w14:textId="77777777" w:rsidR="002A1B36" w:rsidRDefault="002A1B36" w:rsidP="0040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53565"/>
      <w:docPartObj>
        <w:docPartGallery w:val="Page Numbers (Bottom of Page)"/>
        <w:docPartUnique/>
      </w:docPartObj>
    </w:sdtPr>
    <w:sdtEndPr>
      <w:rPr>
        <w:noProof/>
      </w:rPr>
    </w:sdtEndPr>
    <w:sdtContent>
      <w:p w14:paraId="000E99A6" w14:textId="0630A545" w:rsidR="004032C7" w:rsidRDefault="00403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459A" w14:textId="77777777" w:rsidR="002A1B36" w:rsidRDefault="002A1B36" w:rsidP="004032C7">
      <w:r>
        <w:separator/>
      </w:r>
    </w:p>
  </w:footnote>
  <w:footnote w:type="continuationSeparator" w:id="0">
    <w:p w14:paraId="38A0E4AD" w14:textId="77777777" w:rsidR="002A1B36" w:rsidRDefault="002A1B36" w:rsidP="0040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59A"/>
    <w:multiLevelType w:val="hybridMultilevel"/>
    <w:tmpl w:val="431E522C"/>
    <w:lvl w:ilvl="0" w:tplc="1F4C131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18451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0E"/>
    <w:rsid w:val="00056797"/>
    <w:rsid w:val="00160302"/>
    <w:rsid w:val="00263530"/>
    <w:rsid w:val="00263EE8"/>
    <w:rsid w:val="0028152D"/>
    <w:rsid w:val="002A1B36"/>
    <w:rsid w:val="00314D0E"/>
    <w:rsid w:val="004032C7"/>
    <w:rsid w:val="00412C8A"/>
    <w:rsid w:val="0043190F"/>
    <w:rsid w:val="004B630F"/>
    <w:rsid w:val="004D3422"/>
    <w:rsid w:val="00545071"/>
    <w:rsid w:val="00585B68"/>
    <w:rsid w:val="005960A4"/>
    <w:rsid w:val="0061177E"/>
    <w:rsid w:val="00693793"/>
    <w:rsid w:val="00735F4D"/>
    <w:rsid w:val="0075742D"/>
    <w:rsid w:val="007A312A"/>
    <w:rsid w:val="0081434E"/>
    <w:rsid w:val="00851600"/>
    <w:rsid w:val="008B60BA"/>
    <w:rsid w:val="008C357A"/>
    <w:rsid w:val="009624B8"/>
    <w:rsid w:val="00A32E28"/>
    <w:rsid w:val="00A45AFF"/>
    <w:rsid w:val="00AF10A0"/>
    <w:rsid w:val="00B81AA2"/>
    <w:rsid w:val="00BD5A7A"/>
    <w:rsid w:val="00BE3A73"/>
    <w:rsid w:val="00D42A6C"/>
    <w:rsid w:val="00DC019A"/>
    <w:rsid w:val="00E11602"/>
    <w:rsid w:val="00E20263"/>
    <w:rsid w:val="00F26D06"/>
    <w:rsid w:val="00FE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D9AB"/>
  <w15:chartTrackingRefBased/>
  <w15:docId w15:val="{02302931-6EF4-4EE8-AFB9-3BBA3112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0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3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32E28"/>
    <w:rPr>
      <w:sz w:val="16"/>
      <w:szCs w:val="16"/>
    </w:rPr>
  </w:style>
  <w:style w:type="paragraph" w:styleId="CommentText">
    <w:name w:val="annotation text"/>
    <w:basedOn w:val="Normal"/>
    <w:link w:val="CommentTextChar"/>
    <w:uiPriority w:val="99"/>
    <w:unhideWhenUsed/>
    <w:rsid w:val="00A32E28"/>
    <w:rPr>
      <w:sz w:val="20"/>
      <w:szCs w:val="20"/>
    </w:rPr>
  </w:style>
  <w:style w:type="character" w:customStyle="1" w:styleId="CommentTextChar">
    <w:name w:val="Comment Text Char"/>
    <w:basedOn w:val="DefaultParagraphFont"/>
    <w:link w:val="CommentText"/>
    <w:uiPriority w:val="99"/>
    <w:rsid w:val="00A32E28"/>
    <w:rPr>
      <w:rFonts w:ascii="Courier" w:eastAsiaTheme="minorEastAsia" w:hAnsi="Courier"/>
      <w:sz w:val="20"/>
      <w:szCs w:val="20"/>
    </w:rPr>
  </w:style>
  <w:style w:type="paragraph" w:styleId="CommentSubject">
    <w:name w:val="annotation subject"/>
    <w:basedOn w:val="CommentText"/>
    <w:next w:val="CommentText"/>
    <w:link w:val="CommentSubjectChar"/>
    <w:uiPriority w:val="99"/>
    <w:semiHidden/>
    <w:unhideWhenUsed/>
    <w:rsid w:val="00A32E28"/>
    <w:rPr>
      <w:b/>
      <w:bCs/>
    </w:rPr>
  </w:style>
  <w:style w:type="character" w:customStyle="1" w:styleId="CommentSubjectChar">
    <w:name w:val="Comment Subject Char"/>
    <w:basedOn w:val="CommentTextChar"/>
    <w:link w:val="CommentSubject"/>
    <w:uiPriority w:val="99"/>
    <w:semiHidden/>
    <w:rsid w:val="00A32E28"/>
    <w:rPr>
      <w:rFonts w:ascii="Courier" w:eastAsiaTheme="minorEastAsia" w:hAnsi="Courier"/>
      <w:b/>
      <w:bCs/>
      <w:sz w:val="20"/>
      <w:szCs w:val="20"/>
    </w:rPr>
  </w:style>
  <w:style w:type="paragraph" w:styleId="Header">
    <w:name w:val="header"/>
    <w:basedOn w:val="Normal"/>
    <w:link w:val="HeaderChar"/>
    <w:uiPriority w:val="99"/>
    <w:unhideWhenUsed/>
    <w:rsid w:val="004032C7"/>
    <w:pPr>
      <w:tabs>
        <w:tab w:val="center" w:pos="4680"/>
        <w:tab w:val="right" w:pos="9360"/>
      </w:tabs>
    </w:pPr>
  </w:style>
  <w:style w:type="character" w:customStyle="1" w:styleId="HeaderChar">
    <w:name w:val="Header Char"/>
    <w:basedOn w:val="DefaultParagraphFont"/>
    <w:link w:val="Header"/>
    <w:uiPriority w:val="99"/>
    <w:rsid w:val="004032C7"/>
    <w:rPr>
      <w:rFonts w:ascii="Courier" w:eastAsiaTheme="minorEastAsia" w:hAnsi="Courier"/>
      <w:sz w:val="24"/>
      <w:szCs w:val="24"/>
    </w:rPr>
  </w:style>
  <w:style w:type="paragraph" w:styleId="Footer">
    <w:name w:val="footer"/>
    <w:basedOn w:val="Normal"/>
    <w:link w:val="FooterChar"/>
    <w:uiPriority w:val="99"/>
    <w:unhideWhenUsed/>
    <w:rsid w:val="004032C7"/>
    <w:pPr>
      <w:tabs>
        <w:tab w:val="center" w:pos="4680"/>
        <w:tab w:val="right" w:pos="9360"/>
      </w:tabs>
    </w:pPr>
  </w:style>
  <w:style w:type="character" w:customStyle="1" w:styleId="FooterChar">
    <w:name w:val="Footer Char"/>
    <w:basedOn w:val="DefaultParagraphFont"/>
    <w:link w:val="Footer"/>
    <w:uiPriority w:val="99"/>
    <w:rsid w:val="004032C7"/>
    <w:rPr>
      <w:rFonts w:ascii="Courier" w:eastAsiaTheme="minorEastAsia" w:hAnsi="Courier"/>
      <w:sz w:val="24"/>
      <w:szCs w:val="24"/>
    </w:rPr>
  </w:style>
  <w:style w:type="paragraph" w:styleId="ListParagraph">
    <w:name w:val="List Paragraph"/>
    <w:basedOn w:val="Normal"/>
    <w:uiPriority w:val="34"/>
    <w:qFormat/>
    <w:rsid w:val="0043190F"/>
    <w:pPr>
      <w:ind w:left="720"/>
      <w:contextualSpacing/>
    </w:pPr>
  </w:style>
  <w:style w:type="paragraph" w:styleId="Revision">
    <w:name w:val="Revision"/>
    <w:hidden/>
    <w:uiPriority w:val="99"/>
    <w:semiHidden/>
    <w:rsid w:val="009624B8"/>
    <w:pPr>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1570-9712-4976-AFEB-EED3806B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Kennedy</dc:creator>
  <cp:keywords/>
  <dc:description/>
  <cp:lastModifiedBy>Keisha Cornelius</cp:lastModifiedBy>
  <cp:revision>2</cp:revision>
  <cp:lastPrinted>2023-09-14T19:39:00Z</cp:lastPrinted>
  <dcterms:created xsi:type="dcterms:W3CDTF">2023-11-07T00:25:00Z</dcterms:created>
  <dcterms:modified xsi:type="dcterms:W3CDTF">2023-11-07T00:25:00Z</dcterms:modified>
</cp:coreProperties>
</file>