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1A" w:rsidRDefault="00963B1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963B1A" w:rsidRDefault="00963B1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963B1A" w:rsidRDefault="00963B1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963B1A" w:rsidRDefault="00963B1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963B1A" w:rsidRDefault="0043781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TULSA DISPOSAL, LLC</w:t>
      </w:r>
    </w:p>
    <w:p w:rsidR="00963B1A" w:rsidRDefault="00963B1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963B1A" w:rsidRDefault="0043781A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TULSA, OKLAHOMA</w:t>
      </w:r>
    </w:p>
    <w:p w:rsidR="00963B1A" w:rsidRDefault="00963B1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963B1A" w:rsidRDefault="00963B1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963B1A" w:rsidRDefault="00963B1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963B1A" w:rsidRDefault="00963B1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963B1A" w:rsidRDefault="00963B1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963B1A" w:rsidRDefault="0043781A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APPENDIX 2 </w:t>
      </w:r>
    </w:p>
    <w:p w:rsidR="00963B1A" w:rsidRDefault="00963B1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963B1A" w:rsidRDefault="0043781A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FIGURES</w:t>
      </w:r>
      <w:r w:rsidR="00715EE8">
        <w:rPr>
          <w:rFonts w:ascii="Times New Roman" w:hAnsi="Times New Roman"/>
          <w:b/>
          <w:sz w:val="28"/>
        </w:rPr>
        <w:t xml:space="preserve"> </w:t>
      </w:r>
    </w:p>
    <w:p w:rsidR="00715EE8" w:rsidRDefault="00715EE8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And</w:t>
      </w:r>
    </w:p>
    <w:p w:rsidR="00715EE8" w:rsidRDefault="00715EE8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CORRECTIVE MEASURE SCHEMATICS</w:t>
      </w:r>
    </w:p>
    <w:p w:rsidR="00963B1A" w:rsidRDefault="00963B1A">
      <w:pPr>
        <w:pStyle w:val="body"/>
        <w:jc w:val="center"/>
        <w:rPr>
          <w:rFonts w:ascii="Times New Roman" w:hAnsi="Times New Roman"/>
          <w:sz w:val="24"/>
        </w:rPr>
      </w:pPr>
    </w:p>
    <w:p w:rsidR="00963B1A" w:rsidRDefault="00963B1A">
      <w:pPr>
        <w:pStyle w:val="body"/>
        <w:jc w:val="center"/>
        <w:rPr>
          <w:rFonts w:ascii="Times New Roman" w:hAnsi="Times New Roman"/>
          <w:sz w:val="24"/>
        </w:rPr>
      </w:pPr>
    </w:p>
    <w:p w:rsidR="00963B1A" w:rsidRDefault="00963B1A">
      <w:pPr>
        <w:pStyle w:val="body"/>
        <w:jc w:val="center"/>
        <w:rPr>
          <w:rFonts w:ascii="Times New Roman" w:hAnsi="Times New Roman"/>
          <w:sz w:val="24"/>
        </w:rPr>
      </w:pPr>
    </w:p>
    <w:p w:rsidR="00963B1A" w:rsidRDefault="00963B1A">
      <w:pPr>
        <w:pStyle w:val="body"/>
        <w:jc w:val="center"/>
        <w:rPr>
          <w:rFonts w:ascii="Times New Roman" w:hAnsi="Times New Roman"/>
          <w:sz w:val="24"/>
        </w:rPr>
      </w:pPr>
    </w:p>
    <w:p w:rsidR="00963B1A" w:rsidRDefault="00963B1A">
      <w:pPr>
        <w:pStyle w:val="body"/>
        <w:jc w:val="center"/>
        <w:rPr>
          <w:rFonts w:ascii="Times New Roman" w:hAnsi="Times New Roman"/>
          <w:sz w:val="24"/>
        </w:rPr>
      </w:pPr>
    </w:p>
    <w:p w:rsidR="00963B1A" w:rsidRDefault="00963B1A">
      <w:pPr>
        <w:pStyle w:val="body"/>
        <w:jc w:val="center"/>
        <w:rPr>
          <w:rFonts w:ascii="Times New Roman" w:hAnsi="Times New Roman"/>
          <w:sz w:val="24"/>
        </w:rPr>
      </w:pPr>
    </w:p>
    <w:p w:rsidR="00963B1A" w:rsidRDefault="00963B1A">
      <w:pPr>
        <w:pStyle w:val="body"/>
        <w:jc w:val="center"/>
        <w:rPr>
          <w:rFonts w:ascii="Times New Roman" w:hAnsi="Times New Roman"/>
          <w:sz w:val="24"/>
        </w:rPr>
      </w:pPr>
    </w:p>
    <w:p w:rsidR="00963B1A" w:rsidRDefault="00963B1A">
      <w:pPr>
        <w:pStyle w:val="body"/>
        <w:jc w:val="center"/>
        <w:rPr>
          <w:rFonts w:ascii="Times New Roman" w:hAnsi="Times New Roman"/>
          <w:sz w:val="24"/>
        </w:rPr>
      </w:pPr>
    </w:p>
    <w:p w:rsidR="00963B1A" w:rsidRDefault="00963B1A">
      <w:pPr>
        <w:pStyle w:val="body"/>
        <w:jc w:val="center"/>
        <w:rPr>
          <w:rFonts w:ascii="Times New Roman" w:hAnsi="Times New Roman"/>
          <w:sz w:val="24"/>
        </w:rPr>
      </w:pPr>
    </w:p>
    <w:p w:rsidR="00963B1A" w:rsidRDefault="00963B1A">
      <w:pPr>
        <w:pStyle w:val="body"/>
        <w:jc w:val="center"/>
        <w:rPr>
          <w:rFonts w:ascii="Times New Roman" w:hAnsi="Times New Roman"/>
          <w:sz w:val="24"/>
        </w:rPr>
      </w:pPr>
    </w:p>
    <w:p w:rsidR="00963B1A" w:rsidRDefault="0043781A">
      <w:pPr>
        <w:pStyle w:val="Title"/>
        <w:rPr>
          <w:rFonts w:ascii="Times New Roman" w:hAnsi="Times New Roman"/>
          <w:caps/>
          <w:sz w:val="24"/>
        </w:rPr>
      </w:pPr>
      <w:r>
        <w:br w:type="page"/>
      </w:r>
      <w:r>
        <w:rPr>
          <w:rFonts w:ascii="Times New Roman" w:hAnsi="Times New Roman"/>
          <w:caps/>
          <w:sz w:val="24"/>
        </w:rPr>
        <w:lastRenderedPageBreak/>
        <w:t xml:space="preserve">Table of Contents </w:t>
      </w:r>
    </w:p>
    <w:p w:rsidR="00963B1A" w:rsidRDefault="00963B1A">
      <w:pPr>
        <w:pStyle w:val="Title"/>
        <w:rPr>
          <w:rFonts w:ascii="Times New Roman" w:hAnsi="Times New Roman"/>
          <w:caps/>
          <w:sz w:val="24"/>
        </w:rPr>
      </w:pPr>
    </w:p>
    <w:p w:rsidR="00963B1A" w:rsidRDefault="0043781A">
      <w:pPr>
        <w:pStyle w:val="TOC"/>
        <w:widowControl/>
        <w:tabs>
          <w:tab w:val="clear" w:pos="-720"/>
        </w:tabs>
        <w:suppressAutoHyphens w:val="0"/>
        <w:ind w:left="-540"/>
        <w:rPr>
          <w:rFonts w:ascii="Times New Roman" w:hAnsi="Times New Roman"/>
          <w:smallCaps w:val="0"/>
        </w:rPr>
      </w:pPr>
      <w:r>
        <w:rPr>
          <w:rFonts w:ascii="Times New Roman" w:hAnsi="Times New Roman"/>
          <w:b/>
          <w:smallCaps w:val="0"/>
        </w:rPr>
        <w:t xml:space="preserve">Appendix 2 </w:t>
      </w:r>
      <w:r>
        <w:rPr>
          <w:rFonts w:ascii="Times New Roman" w:hAnsi="Times New Roman"/>
          <w:smallCaps w:val="0"/>
        </w:rPr>
        <w:t>– Figures (listed in order)</w:t>
      </w:r>
    </w:p>
    <w:p w:rsidR="00963B1A" w:rsidRDefault="00963B1A">
      <w:pPr>
        <w:rPr>
          <w:sz w:val="24"/>
        </w:rPr>
      </w:pPr>
    </w:p>
    <w:p w:rsidR="00963B1A" w:rsidRDefault="0043781A">
      <w:pPr>
        <w:ind w:hanging="18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Figure 1</w:t>
      </w:r>
      <w:r>
        <w:rPr>
          <w:sz w:val="24"/>
        </w:rPr>
        <w:tab/>
        <w:t>Facility Location and Property Boundaries</w:t>
      </w:r>
    </w:p>
    <w:p w:rsidR="00963B1A" w:rsidRDefault="0043781A">
      <w:pPr>
        <w:ind w:hanging="18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Figure 2</w:t>
      </w:r>
      <w:r>
        <w:rPr>
          <w:sz w:val="24"/>
        </w:rPr>
        <w:tab/>
        <w:t>Facility Site Plan</w:t>
      </w:r>
      <w:r w:rsidR="00715EE8">
        <w:rPr>
          <w:sz w:val="24"/>
        </w:rPr>
        <w:t xml:space="preserve"> and Groundwater Monitoring Well Locations</w:t>
      </w:r>
      <w:r>
        <w:rPr>
          <w:sz w:val="24"/>
        </w:rPr>
        <w:t xml:space="preserve"> </w:t>
      </w:r>
    </w:p>
    <w:p w:rsidR="00963B1A" w:rsidRDefault="0043781A">
      <w:pPr>
        <w:ind w:hanging="18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Figure 3</w:t>
      </w:r>
      <w:r>
        <w:rPr>
          <w:sz w:val="24"/>
        </w:rPr>
        <w:tab/>
        <w:t>Extent of 100-Year Flood Zone</w:t>
      </w:r>
    </w:p>
    <w:p w:rsidR="00963B1A" w:rsidRDefault="0043781A">
      <w:pPr>
        <w:ind w:hanging="18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Figure </w:t>
      </w:r>
      <w:proofErr w:type="gramStart"/>
      <w:r>
        <w:rPr>
          <w:b/>
          <w:sz w:val="24"/>
        </w:rPr>
        <w:t>4</w:t>
      </w:r>
      <w:r>
        <w:rPr>
          <w:sz w:val="24"/>
        </w:rPr>
        <w:t xml:space="preserve"> </w:t>
      </w:r>
      <w:r>
        <w:rPr>
          <w:sz w:val="24"/>
        </w:rPr>
        <w:tab/>
        <w:t xml:space="preserve">Land </w:t>
      </w:r>
      <w:r w:rsidR="00715EE8">
        <w:rPr>
          <w:sz w:val="24"/>
        </w:rPr>
        <w:t xml:space="preserve">Ownership </w:t>
      </w:r>
      <w:r>
        <w:rPr>
          <w:sz w:val="24"/>
        </w:rPr>
        <w:t>in the Vicinity of the Facility</w:t>
      </w:r>
      <w:proofErr w:type="gramEnd"/>
    </w:p>
    <w:p w:rsidR="00963B1A" w:rsidRDefault="0043781A">
      <w:pPr>
        <w:ind w:hanging="18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Figure 5</w:t>
      </w:r>
      <w:r>
        <w:rPr>
          <w:sz w:val="24"/>
        </w:rPr>
        <w:tab/>
        <w:t>Site Layout and Fire Hydrant Locations</w:t>
      </w:r>
    </w:p>
    <w:p w:rsidR="00963B1A" w:rsidRDefault="0043781A">
      <w:pPr>
        <w:ind w:hanging="18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Figure 6</w:t>
      </w:r>
      <w:r>
        <w:rPr>
          <w:sz w:val="24"/>
        </w:rPr>
        <w:tab/>
        <w:t>Hospital Route</w:t>
      </w:r>
    </w:p>
    <w:p w:rsidR="00963B1A" w:rsidRDefault="0043781A">
      <w:pPr>
        <w:ind w:hanging="18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Figure 7</w:t>
      </w:r>
      <w:r>
        <w:rPr>
          <w:sz w:val="24"/>
        </w:rPr>
        <w:tab/>
        <w:t>Closure Schedule</w:t>
      </w:r>
    </w:p>
    <w:p w:rsidR="00963B1A" w:rsidRDefault="0043781A">
      <w:pPr>
        <w:ind w:hanging="18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Figure 8</w:t>
      </w:r>
      <w:r>
        <w:rPr>
          <w:sz w:val="24"/>
        </w:rPr>
        <w:tab/>
      </w:r>
      <w:r w:rsidR="00715EE8">
        <w:rPr>
          <w:sz w:val="24"/>
        </w:rPr>
        <w:t>Pre-Pumping and Pumping Groundwater Contour Map - 6/1996 to 4/2015</w:t>
      </w:r>
    </w:p>
    <w:p w:rsidR="00715EE8" w:rsidRDefault="0043781A" w:rsidP="00715EE8">
      <w:pPr>
        <w:ind w:right="-360" w:hanging="18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Figure 9</w:t>
      </w:r>
      <w:r>
        <w:rPr>
          <w:sz w:val="24"/>
        </w:rPr>
        <w:tab/>
      </w:r>
      <w:r w:rsidR="00715EE8">
        <w:rPr>
          <w:sz w:val="24"/>
        </w:rPr>
        <w:t xml:space="preserve">Total COC </w:t>
      </w:r>
      <w:proofErr w:type="gramStart"/>
      <w:r w:rsidR="00715EE8">
        <w:rPr>
          <w:sz w:val="24"/>
        </w:rPr>
        <w:t>Concentration</w:t>
      </w:r>
      <w:proofErr w:type="gramEnd"/>
      <w:r w:rsidR="00715EE8">
        <w:rPr>
          <w:sz w:val="24"/>
        </w:rPr>
        <w:t xml:space="preserve"> in Groundwater, Clay-Clayey Shale Unit - 6/1996 to 4/2015</w:t>
      </w:r>
    </w:p>
    <w:p w:rsidR="00963B1A" w:rsidRDefault="0043781A">
      <w:pPr>
        <w:ind w:hanging="18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Figure 10</w:t>
      </w:r>
      <w:r>
        <w:rPr>
          <w:sz w:val="24"/>
        </w:rPr>
        <w:tab/>
      </w:r>
      <w:r w:rsidR="00715EE8">
        <w:rPr>
          <w:sz w:val="24"/>
        </w:rPr>
        <w:t>Cumulative Groundwater Pumped and COC Mass Recovered vs. Time</w:t>
      </w:r>
    </w:p>
    <w:p w:rsidR="00963B1A" w:rsidRDefault="0043781A">
      <w:pPr>
        <w:ind w:hanging="18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Figure 11</w:t>
      </w:r>
      <w:r>
        <w:rPr>
          <w:sz w:val="24"/>
        </w:rPr>
        <w:tab/>
      </w:r>
      <w:r w:rsidR="00715EE8">
        <w:rPr>
          <w:sz w:val="24"/>
        </w:rPr>
        <w:t>Average Total COC Concentration and COC Mass recovered vs. Time</w:t>
      </w:r>
    </w:p>
    <w:p w:rsidR="00963B1A" w:rsidRDefault="0043781A" w:rsidP="00A96CC6">
      <w:pPr>
        <w:ind w:hanging="180"/>
        <w:rPr>
          <w:sz w:val="24"/>
        </w:rPr>
      </w:pPr>
      <w:r>
        <w:rPr>
          <w:sz w:val="24"/>
        </w:rPr>
        <w:tab/>
      </w:r>
    </w:p>
    <w:p w:rsidR="00A96CC6" w:rsidRDefault="00A96CC6" w:rsidP="00A96CC6">
      <w:pPr>
        <w:ind w:hanging="180"/>
        <w:rPr>
          <w:sz w:val="24"/>
        </w:rPr>
      </w:pPr>
    </w:p>
    <w:p w:rsidR="00A96CC6" w:rsidRPr="00A96CC6" w:rsidRDefault="00A96CC6" w:rsidP="00A96CC6">
      <w:pPr>
        <w:ind w:hanging="180"/>
        <w:jc w:val="center"/>
        <w:rPr>
          <w:b/>
          <w:sz w:val="24"/>
        </w:rPr>
      </w:pPr>
      <w:r w:rsidRPr="00A96CC6">
        <w:rPr>
          <w:b/>
          <w:sz w:val="24"/>
        </w:rPr>
        <w:t>CORRECTIVE MEASURE SCHEMATICS</w:t>
      </w:r>
    </w:p>
    <w:p w:rsidR="00A96CC6" w:rsidRDefault="00A96CC6" w:rsidP="00A96CC6">
      <w:pPr>
        <w:ind w:hanging="180"/>
        <w:rPr>
          <w:sz w:val="24"/>
        </w:rPr>
      </w:pPr>
    </w:p>
    <w:p w:rsidR="00A96CC6" w:rsidRDefault="00A96CC6" w:rsidP="00A96CC6">
      <w:pPr>
        <w:rPr>
          <w:sz w:val="24"/>
        </w:rPr>
      </w:pPr>
      <w:r w:rsidRPr="00A96CC6">
        <w:rPr>
          <w:b/>
          <w:sz w:val="24"/>
        </w:rPr>
        <w:t>Figure 1</w:t>
      </w:r>
      <w:r>
        <w:rPr>
          <w:sz w:val="24"/>
        </w:rPr>
        <w:tab/>
        <w:t>Process Flow Diagram, Groundwater Recovery System</w:t>
      </w:r>
    </w:p>
    <w:p w:rsidR="00A96CC6" w:rsidRDefault="00A96CC6" w:rsidP="00A96CC6">
      <w:pPr>
        <w:rPr>
          <w:sz w:val="24"/>
        </w:rPr>
      </w:pPr>
      <w:r w:rsidRPr="00A96CC6">
        <w:rPr>
          <w:b/>
          <w:sz w:val="24"/>
        </w:rPr>
        <w:t>Figure 2</w:t>
      </w:r>
      <w:r>
        <w:rPr>
          <w:sz w:val="24"/>
        </w:rPr>
        <w:tab/>
        <w:t>Piping and Instrumentation, Groundwater Recovery System</w:t>
      </w:r>
      <w:r>
        <w:rPr>
          <w:sz w:val="24"/>
        </w:rPr>
        <w:tab/>
      </w:r>
    </w:p>
    <w:p w:rsidR="00963B1A" w:rsidRDefault="00963B1A">
      <w:pPr>
        <w:pStyle w:val="TOC"/>
        <w:widowControl/>
        <w:tabs>
          <w:tab w:val="clear" w:pos="-720"/>
        </w:tabs>
        <w:suppressAutoHyphens w:val="0"/>
        <w:rPr>
          <w:rFonts w:ascii="Times New Roman" w:hAnsi="Times New Roman"/>
          <w:smallCaps w:val="0"/>
        </w:rPr>
      </w:pPr>
    </w:p>
    <w:sectPr w:rsidR="00963B1A" w:rsidSect="00963B1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07" w:rsidRDefault="00AF7E07" w:rsidP="00ED484F">
      <w:r>
        <w:separator/>
      </w:r>
    </w:p>
  </w:endnote>
  <w:endnote w:type="continuationSeparator" w:id="0">
    <w:p w:rsidR="00AF7E07" w:rsidRDefault="00AF7E07" w:rsidP="00ED4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1A" w:rsidRDefault="00963B1A">
    <w:pPr>
      <w:pStyle w:val="Footer"/>
      <w:tabs>
        <w:tab w:val="clear" w:pos="4320"/>
        <w:tab w:val="center" w:pos="4680"/>
      </w:tabs>
    </w:pPr>
    <w:r>
      <w:rPr>
        <w:snapToGrid w:val="0"/>
      </w:rPr>
      <w:fldChar w:fldCharType="begin"/>
    </w:r>
    <w:r w:rsidR="0043781A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43781A">
      <w:rPr>
        <w:noProof/>
        <w:snapToGrid w:val="0"/>
      </w:rPr>
      <w:t>Appendix 2 .doc</w:t>
    </w:r>
    <w:r>
      <w:rPr>
        <w:snapToGrid w:val="0"/>
      </w:rPr>
      <w:fldChar w:fldCharType="end"/>
    </w:r>
    <w:r w:rsidR="0043781A">
      <w:tab/>
    </w:r>
  </w:p>
  <w:p w:rsidR="00963B1A" w:rsidRDefault="00963B1A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1A" w:rsidRDefault="00963B1A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07" w:rsidRDefault="00AF7E07" w:rsidP="00ED484F">
      <w:r>
        <w:separator/>
      </w:r>
    </w:p>
  </w:footnote>
  <w:footnote w:type="continuationSeparator" w:id="0">
    <w:p w:rsidR="00AF7E07" w:rsidRDefault="00AF7E07" w:rsidP="00ED4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1A" w:rsidRDefault="0043781A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  <w:smallCaps/>
        <w:color w:val="000000"/>
      </w:rPr>
    </w:pPr>
    <w:r>
      <w:rPr>
        <w:b/>
        <w:smallCaps/>
        <w:color w:val="000000"/>
      </w:rPr>
      <w:t>Tulsa Disposal, LLC</w:t>
    </w:r>
    <w:r>
      <w:rPr>
        <w:b/>
        <w:smallCaps/>
        <w:color w:val="000000"/>
      </w:rPr>
      <w:tab/>
    </w:r>
    <w:r>
      <w:rPr>
        <w:b/>
        <w:smallCaps/>
        <w:color w:val="000000"/>
      </w:rPr>
      <w:tab/>
      <w:t>Appendix 2 - FIGURES</w:t>
    </w:r>
  </w:p>
  <w:p w:rsidR="00963B1A" w:rsidRDefault="0043781A">
    <w:pPr>
      <w:pStyle w:val="Header"/>
      <w:tabs>
        <w:tab w:val="clear" w:pos="8640"/>
        <w:tab w:val="right" w:pos="9360"/>
      </w:tabs>
      <w:rPr>
        <w:b/>
        <w:color w:val="000000"/>
      </w:rPr>
    </w:pPr>
    <w:r>
      <w:rPr>
        <w:b/>
        <w:smallCaps/>
        <w:color w:val="000000"/>
      </w:rPr>
      <w:t>RCRA Permit Renewal Application</w:t>
    </w:r>
    <w:r>
      <w:rPr>
        <w:b/>
        <w:color w:val="000000"/>
      </w:rPr>
      <w:tab/>
    </w:r>
    <w:r>
      <w:rPr>
        <w:b/>
        <w:color w:val="000000"/>
      </w:rPr>
      <w:tab/>
      <w:t>Revised October 2015</w:t>
    </w:r>
  </w:p>
  <w:p w:rsidR="00963B1A" w:rsidRDefault="00963B1A">
    <w:pPr>
      <w:pStyle w:val="Header"/>
      <w:tabs>
        <w:tab w:val="clear" w:pos="8640"/>
        <w:tab w:val="right" w:pos="9360"/>
      </w:tabs>
    </w:pPr>
  </w:p>
  <w:p w:rsidR="00963B1A" w:rsidRDefault="00963B1A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1A" w:rsidRDefault="00963B1A">
    <w:pPr>
      <w:pStyle w:val="Header"/>
      <w:tabs>
        <w:tab w:val="clear" w:pos="8640"/>
        <w:tab w:val="right" w:pos="9360"/>
      </w:tabs>
      <w:rPr>
        <w:b/>
        <w:color w:val="000000"/>
      </w:rPr>
    </w:pPr>
  </w:p>
  <w:p w:rsidR="00963B1A" w:rsidRDefault="00963B1A">
    <w:pPr>
      <w:pStyle w:val="Header"/>
      <w:rPr>
        <w:b/>
        <w:color w:val="000000"/>
      </w:rPr>
    </w:pPr>
  </w:p>
  <w:p w:rsidR="00963B1A" w:rsidRDefault="00963B1A">
    <w:pPr>
      <w:pStyle w:val="Header"/>
      <w:tabs>
        <w:tab w:val="clear" w:pos="8640"/>
        <w:tab w:val="right" w:pos="9360"/>
      </w:tabs>
      <w:rPr>
        <w:b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ED4"/>
    <w:multiLevelType w:val="multilevel"/>
    <w:tmpl w:val="52D059A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>
    <w:nsid w:val="2FF6358C"/>
    <w:multiLevelType w:val="singleLevel"/>
    <w:tmpl w:val="08B8E74C"/>
    <w:lvl w:ilvl="0">
      <w:start w:val="1"/>
      <w:numFmt w:val="decimal"/>
      <w:lvlText w:val="6.3.%1 "/>
      <w:legacy w:legacy="1" w:legacySpace="0" w:legacyIndent="360"/>
      <w:lvlJc w:val="left"/>
      <w:pPr>
        <w:ind w:left="180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abstractNum w:abstractNumId="2">
    <w:nsid w:val="5A1945B0"/>
    <w:multiLevelType w:val="multilevel"/>
    <w:tmpl w:val="52D059A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6AFF1827"/>
    <w:multiLevelType w:val="singleLevel"/>
    <w:tmpl w:val="88780A4A"/>
    <w:lvl w:ilvl="0">
      <w:start w:val="4"/>
      <w:numFmt w:val="decimal"/>
      <w:lvlText w:val="6.%1 "/>
      <w:legacy w:legacy="1" w:legacySpace="0" w:legacyIndent="360"/>
      <w:lvlJc w:val="left"/>
      <w:pPr>
        <w:ind w:left="108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abstractNum w:abstractNumId="4">
    <w:nsid w:val="72057BCC"/>
    <w:multiLevelType w:val="multilevel"/>
    <w:tmpl w:val="1542D41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BA3779B"/>
    <w:multiLevelType w:val="singleLevel"/>
    <w:tmpl w:val="8AE6FE1E"/>
    <w:lvl w:ilvl="0"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6.%1 "/>
        <w:legacy w:legacy="1" w:legacySpace="0" w:legacyIndent="360"/>
        <w:lvlJc w:val="left"/>
        <w:pPr>
          <w:ind w:left="1080" w:hanging="360"/>
        </w:pPr>
        <w:rPr>
          <w:rFonts w:ascii="CG Times (W1)" w:hAnsi="CG Times (W1)" w:hint="default"/>
          <w:b w:val="0"/>
          <w:i w:val="0"/>
          <w:sz w:val="22"/>
          <w:u w:val="none"/>
        </w:rPr>
      </w:lvl>
    </w:lvlOverride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6.%1 "/>
        <w:legacy w:legacy="1" w:legacySpace="0" w:legacyIndent="360"/>
        <w:lvlJc w:val="left"/>
        <w:pPr>
          <w:ind w:left="1080" w:hanging="360"/>
        </w:pPr>
        <w:rPr>
          <w:rFonts w:ascii="CG Times (W1)" w:hAnsi="CG Times (W1)" w:hint="default"/>
          <w:b w:val="0"/>
          <w:i w:val="0"/>
          <w:sz w:val="22"/>
          <w:u w:val="none"/>
        </w:rPr>
      </w:lvl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81A"/>
    <w:rsid w:val="0043781A"/>
    <w:rsid w:val="00715EE8"/>
    <w:rsid w:val="00963B1A"/>
    <w:rsid w:val="00A96CC6"/>
    <w:rsid w:val="00A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">
    <w:name w:val="#B"/>
    <w:basedOn w:val="DefaultParagraphFont"/>
    <w:rsid w:val="00963B1A"/>
  </w:style>
  <w:style w:type="character" w:customStyle="1" w:styleId="C">
    <w:name w:val="#C"/>
    <w:basedOn w:val="DefaultParagraphFont"/>
    <w:rsid w:val="00963B1A"/>
  </w:style>
  <w:style w:type="paragraph" w:customStyle="1" w:styleId="body">
    <w:name w:val="body"/>
    <w:rsid w:val="00963B1A"/>
    <w:pPr>
      <w:widowControl w:val="0"/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uppressAutoHyphens/>
      <w:spacing w:line="300" w:lineRule="auto"/>
    </w:pPr>
    <w:rPr>
      <w:rFonts w:ascii="CG Times" w:hAnsi="CG Times"/>
      <w:sz w:val="22"/>
    </w:rPr>
  </w:style>
  <w:style w:type="paragraph" w:customStyle="1" w:styleId="A">
    <w:name w:val="#A"/>
    <w:rsid w:val="00963B1A"/>
    <w:pPr>
      <w:widowControl w:val="0"/>
      <w:tabs>
        <w:tab w:val="left" w:pos="-720"/>
      </w:tabs>
      <w:suppressAutoHyphens/>
      <w:jc w:val="center"/>
    </w:pPr>
    <w:rPr>
      <w:rFonts w:ascii="Univers" w:hAnsi="Univers"/>
      <w:b/>
      <w:smallCaps/>
      <w:sz w:val="26"/>
    </w:rPr>
  </w:style>
  <w:style w:type="character" w:customStyle="1" w:styleId="D">
    <w:name w:val="#D"/>
    <w:basedOn w:val="DefaultParagraphFont"/>
    <w:rsid w:val="00963B1A"/>
  </w:style>
  <w:style w:type="paragraph" w:customStyle="1" w:styleId="HeadingBase">
    <w:name w:val="Heading Base"/>
    <w:basedOn w:val="Normal"/>
    <w:next w:val="Normal"/>
    <w:rsid w:val="00963B1A"/>
    <w:pPr>
      <w:keepNext/>
      <w:keepLines/>
      <w:spacing w:before="140" w:line="220" w:lineRule="atLeast"/>
    </w:pPr>
    <w:rPr>
      <w:rFonts w:ascii="CG Times" w:hAnsi="CG Times"/>
      <w:spacing w:val="-4"/>
      <w:kern w:val="28"/>
      <w:sz w:val="22"/>
    </w:rPr>
  </w:style>
  <w:style w:type="paragraph" w:customStyle="1" w:styleId="HeaderBase">
    <w:name w:val="Header Base"/>
    <w:basedOn w:val="Normal"/>
    <w:rsid w:val="00963B1A"/>
    <w:pPr>
      <w:keepLines/>
      <w:spacing w:line="300" w:lineRule="auto"/>
    </w:pPr>
    <w:rPr>
      <w:rFonts w:ascii="Univers" w:hAnsi="Univers"/>
      <w:spacing w:val="-4"/>
      <w:sz w:val="22"/>
    </w:rPr>
  </w:style>
  <w:style w:type="paragraph" w:customStyle="1" w:styleId="T2">
    <w:name w:val="T2"/>
    <w:rsid w:val="00963B1A"/>
    <w:pPr>
      <w:framePr w:hSpace="187" w:wrap="auto" w:vAnchor="page" w:hAnchor="text" w:y="12241"/>
      <w:widowControl w:val="0"/>
      <w:suppressAutoHyphens/>
      <w:ind w:left="1440" w:right="1440"/>
      <w:jc w:val="center"/>
    </w:pPr>
    <w:rPr>
      <w:rFonts w:ascii="Univers" w:hAnsi="Univers"/>
      <w:sz w:val="24"/>
    </w:rPr>
  </w:style>
  <w:style w:type="paragraph" w:customStyle="1" w:styleId="T1">
    <w:name w:val="T1"/>
    <w:rsid w:val="00963B1A"/>
    <w:pPr>
      <w:framePr w:hSpace="187" w:wrap="notBeside" w:vAnchor="page" w:hAnchor="page" w:xAlign="center" w:y="3601"/>
      <w:widowControl w:val="0"/>
      <w:suppressAutoHyphens/>
      <w:jc w:val="center"/>
    </w:pPr>
    <w:rPr>
      <w:rFonts w:ascii="Univers" w:hAnsi="Univers"/>
      <w:b/>
      <w:smallCaps/>
      <w:sz w:val="28"/>
    </w:rPr>
  </w:style>
  <w:style w:type="paragraph" w:customStyle="1" w:styleId="TOCtext">
    <w:name w:val="TOC text"/>
    <w:rsid w:val="00963B1A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leader="dot" w:pos="8640"/>
      </w:tabs>
      <w:suppressAutoHyphens/>
    </w:pPr>
    <w:rPr>
      <w:rFonts w:ascii="CG Times" w:hAnsi="CG Times"/>
      <w:sz w:val="22"/>
    </w:rPr>
  </w:style>
  <w:style w:type="paragraph" w:customStyle="1" w:styleId="tochead">
    <w:name w:val="toc head"/>
    <w:rsid w:val="00963B1A"/>
    <w:pPr>
      <w:widowControl w:val="0"/>
      <w:tabs>
        <w:tab w:val="left" w:pos="-720"/>
      </w:tabs>
      <w:suppressAutoHyphens/>
      <w:jc w:val="center"/>
    </w:pPr>
    <w:rPr>
      <w:rFonts w:ascii="Univers" w:hAnsi="Univers"/>
      <w:b/>
      <w:smallCaps/>
      <w:sz w:val="24"/>
    </w:rPr>
  </w:style>
  <w:style w:type="character" w:customStyle="1" w:styleId="Heading">
    <w:name w:val="Heading"/>
    <w:basedOn w:val="DefaultParagraphFont"/>
    <w:rsid w:val="00963B1A"/>
    <w:rPr>
      <w:rFonts w:ascii="CG Times" w:hAnsi="CG Times"/>
    </w:rPr>
  </w:style>
  <w:style w:type="character" w:customStyle="1" w:styleId="bullets">
    <w:name w:val="bullets"/>
    <w:basedOn w:val="DefaultParagraphFont"/>
    <w:rsid w:val="00963B1A"/>
    <w:rPr>
      <w:rFonts w:ascii="CG Times" w:hAnsi="CG Times"/>
      <w:noProof w:val="0"/>
      <w:sz w:val="24"/>
      <w:lang w:val="en-US"/>
    </w:rPr>
  </w:style>
  <w:style w:type="paragraph" w:customStyle="1" w:styleId="TOC">
    <w:name w:val="TOC"/>
    <w:rsid w:val="00963B1A"/>
    <w:pPr>
      <w:widowControl w:val="0"/>
      <w:tabs>
        <w:tab w:val="left" w:pos="-720"/>
      </w:tabs>
      <w:suppressAutoHyphens/>
    </w:pPr>
    <w:rPr>
      <w:rFonts w:ascii="Univers" w:hAnsi="Univers"/>
      <w:smallCaps/>
      <w:sz w:val="24"/>
    </w:rPr>
  </w:style>
  <w:style w:type="paragraph" w:customStyle="1" w:styleId="Moby2">
    <w:name w:val="Moby2"/>
    <w:rsid w:val="00963B1A"/>
    <w:pPr>
      <w:framePr w:hSpace="187" w:wrap="auto" w:vAnchor="page" w:hAnchor="text" w:y="12241"/>
      <w:widowControl w:val="0"/>
      <w:tabs>
        <w:tab w:val="left" w:pos="-720"/>
      </w:tabs>
      <w:suppressAutoHyphens/>
      <w:ind w:left="2160" w:right="1440"/>
    </w:pPr>
    <w:rPr>
      <w:rFonts w:ascii="Univers" w:hAnsi="Univers"/>
      <w:sz w:val="24"/>
    </w:rPr>
  </w:style>
  <w:style w:type="paragraph" w:customStyle="1" w:styleId="Moby1B">
    <w:name w:val="Moby1B"/>
    <w:rsid w:val="00963B1A"/>
    <w:pPr>
      <w:widowControl w:val="0"/>
      <w:suppressAutoHyphens/>
    </w:pPr>
    <w:rPr>
      <w:rFonts w:ascii="Univers" w:hAnsi="Univers"/>
      <w:b/>
      <w:sz w:val="48"/>
    </w:rPr>
  </w:style>
  <w:style w:type="paragraph" w:customStyle="1" w:styleId="Moby1A">
    <w:name w:val="Moby1A"/>
    <w:rsid w:val="00963B1A"/>
    <w:pPr>
      <w:framePr w:wrap="notBeside" w:vAnchor="page" w:hAnchor="page" w:y="3601"/>
      <w:widowControl w:val="0"/>
      <w:suppressAutoHyphens/>
      <w:ind w:left="2160" w:right="1440"/>
    </w:pPr>
    <w:rPr>
      <w:rFonts w:ascii="Univers" w:hAnsi="Univers"/>
      <w:b/>
      <w:sz w:val="28"/>
    </w:rPr>
  </w:style>
  <w:style w:type="character" w:customStyle="1" w:styleId="bullet">
    <w:name w:val="bullet"/>
    <w:basedOn w:val="DefaultParagraphFont"/>
    <w:rsid w:val="00963B1A"/>
    <w:rPr>
      <w:rFonts w:ascii="CG Times" w:hAnsi="CG Times"/>
      <w:sz w:val="22"/>
    </w:rPr>
  </w:style>
  <w:style w:type="character" w:customStyle="1" w:styleId="EquationCaption">
    <w:name w:val="_Equation Caption"/>
    <w:rsid w:val="00963B1A"/>
    <w:rPr>
      <w:rFonts w:ascii="CG Times" w:hAnsi="CG Times"/>
    </w:rPr>
  </w:style>
  <w:style w:type="paragraph" w:customStyle="1" w:styleId="BlockQuotation">
    <w:name w:val="Block Quotation"/>
    <w:basedOn w:val="Normal"/>
    <w:rsid w:val="00963B1A"/>
    <w:pPr>
      <w:keepLines/>
      <w:spacing w:after="60" w:line="220" w:lineRule="atLeast"/>
      <w:ind w:left="1440" w:right="720"/>
    </w:pPr>
    <w:rPr>
      <w:rFonts w:ascii="CG Times" w:hAnsi="CG Times"/>
      <w:i/>
      <w:sz w:val="22"/>
    </w:rPr>
  </w:style>
  <w:style w:type="character" w:customStyle="1" w:styleId="Superscript">
    <w:name w:val="Superscript"/>
    <w:rsid w:val="00963B1A"/>
    <w:rPr>
      <w:rFonts w:ascii="CG Times" w:hAnsi="CG Times"/>
      <w:vertAlign w:val="superscript"/>
    </w:rPr>
  </w:style>
  <w:style w:type="paragraph" w:customStyle="1" w:styleId="TOCBase">
    <w:name w:val="TOC Base"/>
    <w:basedOn w:val="Normal"/>
    <w:rsid w:val="00963B1A"/>
    <w:pPr>
      <w:tabs>
        <w:tab w:val="right" w:leader="dot" w:pos="6480"/>
      </w:tabs>
      <w:spacing w:after="220" w:line="220" w:lineRule="atLeast"/>
    </w:pPr>
    <w:rPr>
      <w:rFonts w:ascii="CG Times" w:hAnsi="CG Times"/>
      <w:sz w:val="22"/>
    </w:rPr>
  </w:style>
  <w:style w:type="paragraph" w:styleId="Header">
    <w:name w:val="header"/>
    <w:basedOn w:val="Normal"/>
    <w:semiHidden/>
    <w:rsid w:val="00963B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3B1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63B1A"/>
    <w:pPr>
      <w:jc w:val="center"/>
    </w:pPr>
    <w:rPr>
      <w:rFonts w:ascii="CG Times (W1)" w:hAnsi="CG Times (W1)"/>
      <w:b/>
      <w:sz w:val="22"/>
    </w:rPr>
  </w:style>
  <w:style w:type="character" w:styleId="PageNumber">
    <w:name w:val="page number"/>
    <w:basedOn w:val="DefaultParagraphFont"/>
    <w:semiHidden/>
    <w:rsid w:val="00963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ODEQ Item Number B-2</vt:lpstr>
    </vt:vector>
  </TitlesOfParts>
  <Company>Laidlaw Environmental Service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ODEQ Item Number B-2</dc:title>
  <dc:creator>Laidlaw User</dc:creator>
  <cp:lastModifiedBy>Lon R Stewart</cp:lastModifiedBy>
  <cp:revision>2</cp:revision>
  <cp:lastPrinted>2003-03-31T19:50:00Z</cp:lastPrinted>
  <dcterms:created xsi:type="dcterms:W3CDTF">2015-10-22T18:59:00Z</dcterms:created>
  <dcterms:modified xsi:type="dcterms:W3CDTF">2015-10-22T18:59:00Z</dcterms:modified>
</cp:coreProperties>
</file>