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121E4" w14:textId="77777777" w:rsidR="00000000" w:rsidRDefault="004A5D96">
      <w:pPr>
        <w:suppressAutoHyphens/>
        <w:jc w:val="center"/>
        <w:rPr>
          <w:spacing w:val="-4"/>
          <w:sz w:val="32"/>
        </w:rPr>
      </w:pPr>
      <w:r>
        <w:rPr>
          <w:b/>
          <w:spacing w:val="-4"/>
          <w:sz w:val="32"/>
        </w:rPr>
        <w:t>AIR QUALITY GLOSSARY</w:t>
      </w:r>
    </w:p>
    <w:p w14:paraId="651E1885" w14:textId="77777777" w:rsidR="00000000" w:rsidRDefault="004A5D96">
      <w:pPr>
        <w:tabs>
          <w:tab w:val="left" w:pos="-720"/>
        </w:tabs>
        <w:suppressAutoHyphens/>
        <w:jc w:val="both"/>
        <w:rPr>
          <w:spacing w:val="-2"/>
          <w:sz w:val="20"/>
        </w:rPr>
      </w:pPr>
    </w:p>
    <w:p w14:paraId="4E9F8759" w14:textId="77777777" w:rsidR="00000000" w:rsidRDefault="004A5D96">
      <w:pPr>
        <w:tabs>
          <w:tab w:val="left" w:pos="-720"/>
        </w:tabs>
        <w:suppressAutoHyphens/>
        <w:jc w:val="both"/>
        <w:rPr>
          <w:b/>
          <w:spacing w:val="-2"/>
          <w:sz w:val="20"/>
        </w:rPr>
      </w:pPr>
      <w:r>
        <w:rPr>
          <w:spacing w:val="-2"/>
          <w:sz w:val="20"/>
        </w:rPr>
        <w:t>&lt; &gt; - Less than or greater than.</w:t>
      </w:r>
    </w:p>
    <w:p w14:paraId="591843C9" w14:textId="77777777" w:rsidR="00000000" w:rsidRDefault="004A5D96">
      <w:pPr>
        <w:tabs>
          <w:tab w:val="left" w:pos="-720"/>
        </w:tabs>
        <w:suppressAutoHyphens/>
        <w:jc w:val="both"/>
        <w:rPr>
          <w:b/>
          <w:spacing w:val="-2"/>
          <w:sz w:val="20"/>
        </w:rPr>
      </w:pPr>
    </w:p>
    <w:p w14:paraId="12ED69C9" w14:textId="77777777" w:rsidR="00000000" w:rsidRDefault="004A5D96">
      <w:pPr>
        <w:tabs>
          <w:tab w:val="left" w:pos="-720"/>
        </w:tabs>
        <w:suppressAutoHyphens/>
        <w:jc w:val="both"/>
        <w:rPr>
          <w:spacing w:val="-2"/>
          <w:sz w:val="20"/>
        </w:rPr>
      </w:pPr>
      <w:r>
        <w:rPr>
          <w:b/>
          <w:spacing w:val="-2"/>
          <w:sz w:val="20"/>
        </w:rPr>
        <w:t xml:space="preserve">Aircraft Fuels - </w:t>
      </w:r>
      <w:r>
        <w:rPr>
          <w:spacing w:val="-2"/>
          <w:sz w:val="20"/>
        </w:rPr>
        <w:t>Generally refers to the following chemical compounds:</w:t>
      </w:r>
    </w:p>
    <w:p w14:paraId="39000FD9" w14:textId="77777777" w:rsidR="00000000" w:rsidRDefault="004A5D96">
      <w:pPr>
        <w:tabs>
          <w:tab w:val="left" w:pos="-720"/>
        </w:tabs>
        <w:suppressAutoHyphens/>
        <w:jc w:val="both"/>
        <w:rPr>
          <w:spacing w:val="-2"/>
          <w:sz w:val="20"/>
        </w:rPr>
      </w:pPr>
      <w:r>
        <w:rPr>
          <w:spacing w:val="-2"/>
          <w:sz w:val="20"/>
        </w:rPr>
        <w:t xml:space="preserve">Gasoline (RVP 10), Gasoline (RVP 13), Jet Naphtha (JP-4), JP-10, and JP-5/JP-9. </w:t>
      </w:r>
    </w:p>
    <w:p w14:paraId="526CCAC7" w14:textId="77777777" w:rsidR="00000000" w:rsidRDefault="004A5D96">
      <w:pPr>
        <w:tabs>
          <w:tab w:val="left" w:pos="-720"/>
        </w:tabs>
        <w:suppressAutoHyphens/>
        <w:jc w:val="both"/>
        <w:rPr>
          <w:spacing w:val="-2"/>
          <w:sz w:val="20"/>
        </w:rPr>
      </w:pPr>
    </w:p>
    <w:p w14:paraId="32AC110E" w14:textId="77777777" w:rsidR="00000000" w:rsidRDefault="004A5D96">
      <w:pPr>
        <w:tabs>
          <w:tab w:val="left" w:pos="-720"/>
        </w:tabs>
        <w:suppressAutoHyphens/>
        <w:jc w:val="both"/>
        <w:rPr>
          <w:spacing w:val="-2"/>
          <w:sz w:val="20"/>
        </w:rPr>
      </w:pPr>
      <w:r>
        <w:rPr>
          <w:b/>
          <w:spacing w:val="-2"/>
          <w:sz w:val="20"/>
        </w:rPr>
        <w:t xml:space="preserve">Application Shield - </w:t>
      </w:r>
      <w:r>
        <w:rPr>
          <w:spacing w:val="-2"/>
          <w:sz w:val="20"/>
        </w:rPr>
        <w:t>Generally refers to the pr</w:t>
      </w:r>
      <w:r>
        <w:rPr>
          <w:spacing w:val="-2"/>
          <w:sz w:val="20"/>
        </w:rPr>
        <w:t>ocess in which submission of a timely and administratively complete application protects the applicant from enforcement actions pertaining to obtaining a permit until ODEQ takes final action on the application.</w:t>
      </w:r>
    </w:p>
    <w:p w14:paraId="0E171AFC" w14:textId="77777777" w:rsidR="00000000" w:rsidRDefault="004A5D96">
      <w:pPr>
        <w:tabs>
          <w:tab w:val="left" w:pos="-720"/>
        </w:tabs>
        <w:suppressAutoHyphens/>
        <w:jc w:val="both"/>
        <w:rPr>
          <w:b/>
          <w:spacing w:val="-2"/>
          <w:sz w:val="20"/>
        </w:rPr>
      </w:pPr>
    </w:p>
    <w:p w14:paraId="2772E14F" w14:textId="77777777" w:rsidR="00000000" w:rsidRDefault="004A5D96">
      <w:pPr>
        <w:tabs>
          <w:tab w:val="left" w:pos="-720"/>
        </w:tabs>
        <w:suppressAutoHyphens/>
        <w:jc w:val="both"/>
        <w:rPr>
          <w:spacing w:val="-2"/>
          <w:sz w:val="20"/>
        </w:rPr>
      </w:pPr>
      <w:r>
        <w:rPr>
          <w:b/>
          <w:spacing w:val="-2"/>
          <w:sz w:val="20"/>
        </w:rPr>
        <w:t xml:space="preserve">Bioremediation Activity - </w:t>
      </w:r>
      <w:r>
        <w:rPr>
          <w:spacing w:val="-2"/>
          <w:sz w:val="20"/>
        </w:rPr>
        <w:t>Refers to the use of living organisms to clean up oil spills or remove other pollutants from soil, water, or wastewater; use of microorganisms such as non-harmful insects to remove agricultural pests or counteract diseases of trees, plants, and garden soil.</w:t>
      </w:r>
    </w:p>
    <w:p w14:paraId="7D3A4A2B" w14:textId="77777777" w:rsidR="00000000" w:rsidRDefault="004A5D96">
      <w:pPr>
        <w:tabs>
          <w:tab w:val="left" w:pos="-720"/>
        </w:tabs>
        <w:suppressAutoHyphens/>
        <w:jc w:val="both"/>
        <w:rPr>
          <w:spacing w:val="-2"/>
          <w:sz w:val="20"/>
        </w:rPr>
      </w:pPr>
    </w:p>
    <w:p w14:paraId="403C55D9" w14:textId="77777777" w:rsidR="00000000" w:rsidRDefault="004A5D96">
      <w:pPr>
        <w:tabs>
          <w:tab w:val="left" w:pos="-720"/>
        </w:tabs>
        <w:suppressAutoHyphens/>
        <w:jc w:val="both"/>
        <w:rPr>
          <w:spacing w:val="-2"/>
          <w:sz w:val="20"/>
        </w:rPr>
      </w:pPr>
      <w:r>
        <w:rPr>
          <w:b/>
          <w:spacing w:val="-2"/>
          <w:sz w:val="20"/>
        </w:rPr>
        <w:t>Clean Air Act A</w:t>
      </w:r>
      <w:r>
        <w:rPr>
          <w:b/>
          <w:spacing w:val="-2"/>
          <w:sz w:val="20"/>
        </w:rPr>
        <w:t xml:space="preserve">mendment (CAAA) - </w:t>
      </w:r>
      <w:r>
        <w:rPr>
          <w:spacing w:val="-2"/>
          <w:sz w:val="20"/>
        </w:rPr>
        <w:t xml:space="preserve">Public law 88-206, 77 Stat. 392, December 17, 1963, 42 U.S.C. 7401 (et seq.) as last amended by the Clean Air Act amendments of 1990, P.L. 101-549, November 15, 1990. </w:t>
      </w:r>
    </w:p>
    <w:p w14:paraId="65B633FB" w14:textId="77777777" w:rsidR="00000000" w:rsidRDefault="004A5D96">
      <w:pPr>
        <w:tabs>
          <w:tab w:val="left" w:pos="-720"/>
        </w:tabs>
        <w:suppressAutoHyphens/>
        <w:jc w:val="both"/>
        <w:rPr>
          <w:spacing w:val="-2"/>
          <w:sz w:val="20"/>
        </w:rPr>
      </w:pPr>
    </w:p>
    <w:p w14:paraId="19F50F55" w14:textId="77777777" w:rsidR="00000000" w:rsidRDefault="004A5D96">
      <w:pPr>
        <w:tabs>
          <w:tab w:val="left" w:pos="-720"/>
        </w:tabs>
        <w:suppressAutoHyphens/>
        <w:jc w:val="both"/>
        <w:rPr>
          <w:spacing w:val="-2"/>
          <w:sz w:val="20"/>
        </w:rPr>
      </w:pPr>
      <w:r>
        <w:rPr>
          <w:b/>
          <w:spacing w:val="-2"/>
          <w:sz w:val="20"/>
        </w:rPr>
        <w:t xml:space="preserve">Compliance Assurance Certification - </w:t>
      </w:r>
      <w:r>
        <w:rPr>
          <w:spacing w:val="-2"/>
          <w:sz w:val="20"/>
        </w:rPr>
        <w:t>A formal statement verifying that certain applicable requirements have been met.</w:t>
      </w:r>
    </w:p>
    <w:p w14:paraId="6959FFFA" w14:textId="77777777" w:rsidR="00000000" w:rsidRDefault="004A5D96">
      <w:pPr>
        <w:tabs>
          <w:tab w:val="left" w:pos="-720"/>
        </w:tabs>
        <w:suppressAutoHyphens/>
        <w:jc w:val="both"/>
        <w:rPr>
          <w:spacing w:val="-2"/>
          <w:sz w:val="20"/>
        </w:rPr>
      </w:pPr>
    </w:p>
    <w:p w14:paraId="3CBDFA54" w14:textId="77777777" w:rsidR="00000000" w:rsidRDefault="004A5D96">
      <w:pPr>
        <w:tabs>
          <w:tab w:val="left" w:pos="-720"/>
        </w:tabs>
        <w:suppressAutoHyphens/>
        <w:jc w:val="both"/>
        <w:rPr>
          <w:spacing w:val="-2"/>
          <w:sz w:val="20"/>
        </w:rPr>
      </w:pPr>
      <w:r>
        <w:rPr>
          <w:b/>
          <w:spacing w:val="-2"/>
          <w:sz w:val="20"/>
        </w:rPr>
        <w:t xml:space="preserve">Compliance Certification Reports - </w:t>
      </w:r>
      <w:r>
        <w:rPr>
          <w:spacing w:val="-2"/>
          <w:sz w:val="20"/>
        </w:rPr>
        <w:t>The formal submission of a compliance certification to ODEQ as required by 252:100-8-5(d)(9).</w:t>
      </w:r>
    </w:p>
    <w:p w14:paraId="5F39408E" w14:textId="77777777" w:rsidR="00000000" w:rsidRDefault="004A5D96">
      <w:pPr>
        <w:tabs>
          <w:tab w:val="left" w:pos="-720"/>
        </w:tabs>
        <w:suppressAutoHyphens/>
        <w:jc w:val="both"/>
        <w:rPr>
          <w:spacing w:val="-2"/>
          <w:sz w:val="20"/>
        </w:rPr>
      </w:pPr>
    </w:p>
    <w:p w14:paraId="326E71D6" w14:textId="77777777" w:rsidR="00000000" w:rsidRDefault="004A5D96">
      <w:pPr>
        <w:tabs>
          <w:tab w:val="left" w:pos="-720"/>
        </w:tabs>
        <w:suppressAutoHyphens/>
        <w:jc w:val="both"/>
        <w:rPr>
          <w:spacing w:val="-2"/>
          <w:sz w:val="20"/>
        </w:rPr>
      </w:pPr>
      <w:r>
        <w:rPr>
          <w:b/>
          <w:spacing w:val="-2"/>
          <w:sz w:val="20"/>
        </w:rPr>
        <w:t xml:space="preserve">Confidential Information - </w:t>
      </w:r>
      <w:r>
        <w:rPr>
          <w:spacing w:val="-2"/>
          <w:sz w:val="20"/>
        </w:rPr>
        <w:t>Trade secrets, under Oklahoma law, will be held c</w:t>
      </w:r>
      <w:r>
        <w:rPr>
          <w:spacing w:val="-2"/>
          <w:sz w:val="20"/>
        </w:rPr>
        <w:t>onfidential when so declared by the person providing such information.  Trade secrets do not include emission data.</w:t>
      </w:r>
    </w:p>
    <w:p w14:paraId="5211E7F2" w14:textId="77777777" w:rsidR="00000000" w:rsidRDefault="004A5D96">
      <w:pPr>
        <w:tabs>
          <w:tab w:val="left" w:pos="-720"/>
        </w:tabs>
        <w:suppressAutoHyphens/>
        <w:jc w:val="both"/>
        <w:rPr>
          <w:spacing w:val="-2"/>
          <w:sz w:val="20"/>
        </w:rPr>
      </w:pPr>
    </w:p>
    <w:p w14:paraId="13FC1A84" w14:textId="77777777" w:rsidR="00000000" w:rsidRDefault="004A5D96">
      <w:pPr>
        <w:tabs>
          <w:tab w:val="left" w:pos="-720"/>
        </w:tabs>
        <w:suppressAutoHyphens/>
        <w:jc w:val="both"/>
        <w:rPr>
          <w:spacing w:val="-2"/>
          <w:sz w:val="20"/>
        </w:rPr>
      </w:pPr>
      <w:r>
        <w:rPr>
          <w:b/>
          <w:spacing w:val="-2"/>
          <w:sz w:val="20"/>
        </w:rPr>
        <w:t xml:space="preserve">Custody Transfer - </w:t>
      </w:r>
      <w:r>
        <w:rPr>
          <w:spacing w:val="-2"/>
          <w:sz w:val="20"/>
        </w:rPr>
        <w:t>Generally refers to the change in control of petroleum products from production to transportation operations.</w:t>
      </w:r>
    </w:p>
    <w:p w14:paraId="4991E722" w14:textId="77777777" w:rsidR="00000000" w:rsidRDefault="004A5D96">
      <w:pPr>
        <w:tabs>
          <w:tab w:val="left" w:pos="-720"/>
        </w:tabs>
        <w:suppressAutoHyphens/>
        <w:jc w:val="both"/>
        <w:rPr>
          <w:spacing w:val="-2"/>
          <w:sz w:val="20"/>
        </w:rPr>
      </w:pPr>
    </w:p>
    <w:p w14:paraId="7D5CF17E" w14:textId="77777777" w:rsidR="00000000" w:rsidRDefault="004A5D96">
      <w:pPr>
        <w:tabs>
          <w:tab w:val="left" w:pos="-720"/>
        </w:tabs>
        <w:suppressAutoHyphens/>
        <w:jc w:val="both"/>
        <w:rPr>
          <w:spacing w:val="-2"/>
          <w:sz w:val="20"/>
        </w:rPr>
      </w:pPr>
      <w:r>
        <w:rPr>
          <w:b/>
          <w:spacing w:val="-2"/>
          <w:sz w:val="20"/>
        </w:rPr>
        <w:t xml:space="preserve">de minimis - </w:t>
      </w:r>
      <w:r>
        <w:rPr>
          <w:spacing w:val="-2"/>
          <w:sz w:val="20"/>
        </w:rPr>
        <w:t>A specified emission level for a particular pollutant below which a certain regulation does not apply.</w:t>
      </w:r>
    </w:p>
    <w:p w14:paraId="71A96F6C" w14:textId="77777777" w:rsidR="00000000" w:rsidRDefault="004A5D96">
      <w:pPr>
        <w:tabs>
          <w:tab w:val="left" w:pos="-720"/>
        </w:tabs>
        <w:suppressAutoHyphens/>
        <w:jc w:val="both"/>
        <w:rPr>
          <w:spacing w:val="-2"/>
          <w:sz w:val="20"/>
        </w:rPr>
      </w:pPr>
    </w:p>
    <w:p w14:paraId="0C247DCB" w14:textId="77777777" w:rsidR="00000000" w:rsidRDefault="004A5D96">
      <w:pPr>
        <w:tabs>
          <w:tab w:val="left" w:pos="-720"/>
        </w:tabs>
        <w:suppressAutoHyphens/>
        <w:jc w:val="both"/>
        <w:rPr>
          <w:spacing w:val="-2"/>
          <w:sz w:val="20"/>
        </w:rPr>
      </w:pPr>
      <w:r>
        <w:rPr>
          <w:b/>
          <w:spacing w:val="-2"/>
          <w:sz w:val="20"/>
        </w:rPr>
        <w:t xml:space="preserve">Emissions Unit - </w:t>
      </w:r>
      <w:r>
        <w:rPr>
          <w:spacing w:val="-2"/>
          <w:sz w:val="20"/>
        </w:rPr>
        <w:t>Refers to any part of a source which emits or would have the potential to emit any pollutant subject to regulation.</w:t>
      </w:r>
    </w:p>
    <w:p w14:paraId="6EFA9C73" w14:textId="77777777" w:rsidR="00000000" w:rsidRDefault="004A5D96">
      <w:pPr>
        <w:tabs>
          <w:tab w:val="left" w:pos="-720"/>
        </w:tabs>
        <w:suppressAutoHyphens/>
        <w:jc w:val="both"/>
        <w:rPr>
          <w:spacing w:val="-2"/>
          <w:sz w:val="20"/>
        </w:rPr>
      </w:pPr>
    </w:p>
    <w:p w14:paraId="1F50E177" w14:textId="77777777" w:rsidR="00000000" w:rsidRDefault="004A5D96">
      <w:pPr>
        <w:tabs>
          <w:tab w:val="left" w:pos="-720"/>
        </w:tabs>
        <w:suppressAutoHyphens/>
        <w:jc w:val="both"/>
        <w:rPr>
          <w:spacing w:val="-2"/>
          <w:sz w:val="20"/>
        </w:rPr>
      </w:pPr>
      <w:r>
        <w:rPr>
          <w:b/>
          <w:spacing w:val="-2"/>
          <w:sz w:val="20"/>
        </w:rPr>
        <w:t xml:space="preserve">Emission Unit </w:t>
      </w:r>
      <w:r>
        <w:rPr>
          <w:b/>
          <w:spacing w:val="-2"/>
          <w:sz w:val="20"/>
        </w:rPr>
        <w:t>Group (EUG) ID # -</w:t>
      </w:r>
      <w:r>
        <w:rPr>
          <w:spacing w:val="-2"/>
          <w:sz w:val="20"/>
        </w:rPr>
        <w:t xml:space="preserve"> A unique identification number assign to a particular grouping of emissions units.</w:t>
      </w:r>
    </w:p>
    <w:p w14:paraId="7CE6451A" w14:textId="77777777" w:rsidR="00000000" w:rsidRDefault="004A5D96">
      <w:pPr>
        <w:tabs>
          <w:tab w:val="left" w:pos="-720"/>
        </w:tabs>
        <w:suppressAutoHyphens/>
        <w:jc w:val="both"/>
        <w:rPr>
          <w:spacing w:val="-2"/>
          <w:sz w:val="20"/>
        </w:rPr>
      </w:pPr>
    </w:p>
    <w:p w14:paraId="28F60376" w14:textId="77777777" w:rsidR="00000000" w:rsidRDefault="004A5D96">
      <w:pPr>
        <w:tabs>
          <w:tab w:val="left" w:pos="-720"/>
        </w:tabs>
        <w:suppressAutoHyphens/>
        <w:jc w:val="both"/>
        <w:rPr>
          <w:spacing w:val="-2"/>
          <w:sz w:val="20"/>
        </w:rPr>
      </w:pPr>
      <w:r>
        <w:rPr>
          <w:b/>
          <w:spacing w:val="-2"/>
          <w:sz w:val="20"/>
        </w:rPr>
        <w:t xml:space="preserve">Federally Enforceable Requirements - </w:t>
      </w:r>
      <w:r>
        <w:rPr>
          <w:spacing w:val="-2"/>
          <w:sz w:val="20"/>
        </w:rPr>
        <w:t>Except as otherwise identified and exempted, all terms and conditions in a permit which are enforceable by ODEQ, EPA, and by citizens under Section 304 of the CAAA90.</w:t>
      </w:r>
    </w:p>
    <w:p w14:paraId="00EF9A04" w14:textId="77777777" w:rsidR="00000000" w:rsidRDefault="004A5D96">
      <w:pPr>
        <w:tabs>
          <w:tab w:val="left" w:pos="-720"/>
        </w:tabs>
        <w:suppressAutoHyphens/>
        <w:jc w:val="both"/>
        <w:rPr>
          <w:b/>
          <w:spacing w:val="-2"/>
          <w:sz w:val="20"/>
        </w:rPr>
      </w:pPr>
    </w:p>
    <w:p w14:paraId="02F43E42" w14:textId="77777777" w:rsidR="00000000" w:rsidRDefault="004A5D96">
      <w:pPr>
        <w:tabs>
          <w:tab w:val="left" w:pos="-720"/>
        </w:tabs>
        <w:suppressAutoHyphens/>
        <w:jc w:val="both"/>
        <w:rPr>
          <w:spacing w:val="-2"/>
          <w:sz w:val="20"/>
        </w:rPr>
      </w:pPr>
      <w:r>
        <w:rPr>
          <w:b/>
          <w:spacing w:val="-2"/>
          <w:sz w:val="20"/>
        </w:rPr>
        <w:t>Hazardous Air Contaminant -</w:t>
      </w:r>
      <w:r>
        <w:rPr>
          <w:spacing w:val="-2"/>
          <w:sz w:val="20"/>
        </w:rPr>
        <w:t xml:space="preserve"> Any hazardous air pollutant regulated under Section 112 of the federal Clean Air Act, 42 U.S.C. Section 7412, and subject to national emission standards (NESHAP).  (OAC 252:100</w:t>
      </w:r>
      <w:r>
        <w:rPr>
          <w:spacing w:val="-2"/>
          <w:sz w:val="20"/>
        </w:rPr>
        <w:t>-41).</w:t>
      </w:r>
    </w:p>
    <w:p w14:paraId="6F05234C" w14:textId="77777777" w:rsidR="00000000" w:rsidRDefault="004A5D96">
      <w:pPr>
        <w:tabs>
          <w:tab w:val="left" w:pos="-720"/>
        </w:tabs>
        <w:suppressAutoHyphens/>
        <w:jc w:val="both"/>
        <w:rPr>
          <w:spacing w:val="-2"/>
          <w:sz w:val="20"/>
        </w:rPr>
      </w:pPr>
    </w:p>
    <w:p w14:paraId="3327FE3A" w14:textId="77777777" w:rsidR="00000000" w:rsidRDefault="004A5D96">
      <w:pPr>
        <w:tabs>
          <w:tab w:val="left" w:pos="-720"/>
        </w:tabs>
        <w:suppressAutoHyphens/>
        <w:jc w:val="both"/>
        <w:rPr>
          <w:spacing w:val="-2"/>
          <w:sz w:val="20"/>
        </w:rPr>
      </w:pPr>
      <w:r>
        <w:rPr>
          <w:b/>
          <w:spacing w:val="-2"/>
          <w:sz w:val="20"/>
        </w:rPr>
        <w:t xml:space="preserve">Insignificant Activity - </w:t>
      </w:r>
      <w:r>
        <w:rPr>
          <w:spacing w:val="-2"/>
          <w:sz w:val="20"/>
        </w:rPr>
        <w:t>Generally, below a certain specified level of emissions (1 pound per hour).</w:t>
      </w:r>
    </w:p>
    <w:p w14:paraId="2050B9AF" w14:textId="77777777" w:rsidR="00000000" w:rsidRDefault="004A5D96">
      <w:pPr>
        <w:tabs>
          <w:tab w:val="left" w:pos="-720"/>
        </w:tabs>
        <w:suppressAutoHyphens/>
        <w:jc w:val="both"/>
        <w:rPr>
          <w:spacing w:val="-2"/>
          <w:sz w:val="20"/>
        </w:rPr>
      </w:pPr>
    </w:p>
    <w:p w14:paraId="53F03468" w14:textId="77777777" w:rsidR="00000000" w:rsidRDefault="004A5D96">
      <w:pPr>
        <w:tabs>
          <w:tab w:val="left" w:pos="-720"/>
        </w:tabs>
        <w:suppressAutoHyphens/>
        <w:jc w:val="both"/>
        <w:rPr>
          <w:spacing w:val="-2"/>
          <w:sz w:val="20"/>
        </w:rPr>
      </w:pPr>
      <w:r>
        <w:rPr>
          <w:b/>
          <w:spacing w:val="-2"/>
          <w:sz w:val="20"/>
        </w:rPr>
        <w:t>Maximum Acceptable Ambient Concentration (MAAC) -</w:t>
      </w:r>
      <w:r>
        <w:rPr>
          <w:spacing w:val="-2"/>
          <w:sz w:val="20"/>
        </w:rPr>
        <w:t xml:space="preserve">  Air quality standards for toxic or hazardous emissions as established in OAC 252:100-41.</w:t>
      </w:r>
    </w:p>
    <w:p w14:paraId="41175EB6" w14:textId="77777777" w:rsidR="00000000" w:rsidRDefault="004A5D96">
      <w:pPr>
        <w:tabs>
          <w:tab w:val="left" w:pos="-720"/>
        </w:tabs>
        <w:suppressAutoHyphens/>
        <w:jc w:val="both"/>
        <w:rPr>
          <w:b/>
          <w:spacing w:val="-2"/>
          <w:sz w:val="20"/>
        </w:rPr>
      </w:pPr>
    </w:p>
    <w:p w14:paraId="3899394B" w14:textId="77777777" w:rsidR="00000000" w:rsidRDefault="004A5D96">
      <w:pPr>
        <w:tabs>
          <w:tab w:val="left" w:pos="-720"/>
        </w:tabs>
        <w:suppressAutoHyphens/>
        <w:jc w:val="both"/>
        <w:rPr>
          <w:spacing w:val="-2"/>
          <w:sz w:val="20"/>
        </w:rPr>
      </w:pPr>
      <w:r>
        <w:rPr>
          <w:b/>
          <w:spacing w:val="-2"/>
          <w:sz w:val="20"/>
        </w:rPr>
        <w:t xml:space="preserve">MMBTU/hr or, MMBTUH - </w:t>
      </w:r>
      <w:r>
        <w:rPr>
          <w:spacing w:val="-2"/>
          <w:sz w:val="20"/>
        </w:rPr>
        <w:t>Million British Thermal Unit per Hour.</w:t>
      </w:r>
    </w:p>
    <w:p w14:paraId="6937CF88" w14:textId="77777777" w:rsidR="00000000" w:rsidRDefault="004A5D96">
      <w:pPr>
        <w:tabs>
          <w:tab w:val="left" w:pos="-720"/>
        </w:tabs>
        <w:suppressAutoHyphens/>
        <w:jc w:val="both"/>
        <w:rPr>
          <w:spacing w:val="-2"/>
          <w:sz w:val="20"/>
        </w:rPr>
      </w:pPr>
    </w:p>
    <w:p w14:paraId="1D2173B8" w14:textId="77777777" w:rsidR="00000000" w:rsidRDefault="004A5D96">
      <w:pPr>
        <w:tabs>
          <w:tab w:val="left" w:pos="-720"/>
        </w:tabs>
        <w:suppressAutoHyphens/>
        <w:jc w:val="both"/>
        <w:rPr>
          <w:spacing w:val="-2"/>
          <w:sz w:val="20"/>
        </w:rPr>
      </w:pPr>
      <w:r>
        <w:rPr>
          <w:b/>
          <w:spacing w:val="-2"/>
          <w:sz w:val="20"/>
        </w:rPr>
        <w:t xml:space="preserve">New Source Performance Standards (NSPS) - </w:t>
      </w:r>
      <w:r>
        <w:rPr>
          <w:spacing w:val="-2"/>
          <w:sz w:val="20"/>
        </w:rPr>
        <w:t>Uniform National EPA air emission and water effluent standards which limits the amount of pollution allowed from  new sources or from modified existing source</w:t>
      </w:r>
      <w:r>
        <w:rPr>
          <w:spacing w:val="-2"/>
          <w:sz w:val="20"/>
        </w:rPr>
        <w:t>s.</w:t>
      </w:r>
    </w:p>
    <w:p w14:paraId="27610F1F" w14:textId="77777777" w:rsidR="00000000" w:rsidRDefault="004A5D96">
      <w:pPr>
        <w:tabs>
          <w:tab w:val="left" w:pos="-720"/>
        </w:tabs>
        <w:suppressAutoHyphens/>
        <w:jc w:val="both"/>
        <w:rPr>
          <w:spacing w:val="-2"/>
          <w:sz w:val="20"/>
        </w:rPr>
      </w:pPr>
    </w:p>
    <w:p w14:paraId="518DD15B" w14:textId="77777777" w:rsidR="00000000" w:rsidRDefault="004A5D96">
      <w:pPr>
        <w:tabs>
          <w:tab w:val="left" w:pos="-720"/>
        </w:tabs>
        <w:suppressAutoHyphens/>
        <w:jc w:val="both"/>
        <w:rPr>
          <w:spacing w:val="-2"/>
          <w:sz w:val="20"/>
        </w:rPr>
      </w:pPr>
      <w:r>
        <w:rPr>
          <w:b/>
          <w:spacing w:val="-2"/>
          <w:sz w:val="20"/>
        </w:rPr>
        <w:t xml:space="preserve">Oklahoma Administrative Code (OAC) - </w:t>
      </w:r>
      <w:r>
        <w:rPr>
          <w:spacing w:val="-2"/>
          <w:sz w:val="20"/>
        </w:rPr>
        <w:t>The official compilation of administrative rules, promulgated and enforced by State regulatory agencies.</w:t>
      </w:r>
    </w:p>
    <w:p w14:paraId="48A579A2" w14:textId="77777777" w:rsidR="00000000" w:rsidRDefault="004A5D96">
      <w:pPr>
        <w:tabs>
          <w:tab w:val="left" w:pos="-720"/>
        </w:tabs>
        <w:suppressAutoHyphens/>
        <w:jc w:val="both"/>
        <w:rPr>
          <w:b/>
          <w:spacing w:val="-2"/>
          <w:sz w:val="20"/>
        </w:rPr>
      </w:pPr>
    </w:p>
    <w:p w14:paraId="0F381312" w14:textId="77777777" w:rsidR="00000000" w:rsidRDefault="004A5D96">
      <w:pPr>
        <w:tabs>
          <w:tab w:val="left" w:pos="-720"/>
        </w:tabs>
        <w:suppressAutoHyphens/>
        <w:jc w:val="both"/>
        <w:rPr>
          <w:spacing w:val="-2"/>
          <w:sz w:val="20"/>
        </w:rPr>
      </w:pPr>
      <w:r>
        <w:rPr>
          <w:b/>
          <w:spacing w:val="-2"/>
          <w:sz w:val="20"/>
        </w:rPr>
        <w:t>Owner or Operator -</w:t>
      </w:r>
      <w:r>
        <w:rPr>
          <w:spacing w:val="-2"/>
          <w:sz w:val="20"/>
        </w:rPr>
        <w:t xml:space="preserve"> Any person who owns, leases, operates, controls, or supervises a source.  (Effective 6/22/74)</w:t>
      </w:r>
    </w:p>
    <w:p w14:paraId="75405D7F" w14:textId="77777777" w:rsidR="00000000" w:rsidRDefault="004A5D96">
      <w:pPr>
        <w:suppressAutoHyphens/>
        <w:jc w:val="both"/>
        <w:rPr>
          <w:spacing w:val="-2"/>
          <w:sz w:val="20"/>
        </w:rPr>
      </w:pPr>
    </w:p>
    <w:p w14:paraId="414FC7AC" w14:textId="77777777" w:rsidR="00000000" w:rsidRDefault="004A5D96">
      <w:pPr>
        <w:suppressAutoHyphens/>
        <w:jc w:val="both"/>
        <w:rPr>
          <w:spacing w:val="-2"/>
          <w:sz w:val="20"/>
        </w:rPr>
      </w:pPr>
      <w:r>
        <w:rPr>
          <w:b/>
          <w:spacing w:val="-2"/>
          <w:sz w:val="20"/>
        </w:rPr>
        <w:t>Ozone Attainment Area -</w:t>
      </w:r>
      <w:r>
        <w:rPr>
          <w:spacing w:val="-2"/>
          <w:sz w:val="20"/>
        </w:rPr>
        <w:t xml:space="preserve"> An area where ozone concentration is below the National Ambient Air Quality Standard (NAAQS).</w:t>
      </w:r>
    </w:p>
    <w:p w14:paraId="2CABF91D" w14:textId="77777777" w:rsidR="00000000" w:rsidRDefault="004A5D96">
      <w:pPr>
        <w:suppressAutoHyphens/>
        <w:jc w:val="both"/>
        <w:rPr>
          <w:spacing w:val="-2"/>
          <w:sz w:val="20"/>
        </w:rPr>
      </w:pPr>
    </w:p>
    <w:p w14:paraId="5C808907" w14:textId="77777777" w:rsidR="00000000" w:rsidRDefault="004A5D96">
      <w:pPr>
        <w:suppressAutoHyphens/>
        <w:jc w:val="both"/>
        <w:rPr>
          <w:spacing w:val="-2"/>
          <w:sz w:val="20"/>
        </w:rPr>
      </w:pPr>
      <w:r>
        <w:rPr>
          <w:b/>
          <w:spacing w:val="-2"/>
          <w:sz w:val="20"/>
        </w:rPr>
        <w:t>Permit Shield -</w:t>
      </w:r>
      <w:r>
        <w:rPr>
          <w:spacing w:val="-2"/>
          <w:sz w:val="20"/>
        </w:rPr>
        <w:t xml:space="preserve"> The permit shield is a part of Title V permit.  This shield assures the permittee that if the terms of the permit a</w:t>
      </w:r>
      <w:r>
        <w:rPr>
          <w:spacing w:val="-2"/>
          <w:sz w:val="20"/>
        </w:rPr>
        <w:t>re met, the facility is assumed to be in compliance with all applicable requirements.  In addition, the permittee may request that specific nonapplicable requirements be identified and then shielded in the permit.</w:t>
      </w:r>
    </w:p>
    <w:p w14:paraId="4A15B3EC" w14:textId="77777777" w:rsidR="00000000" w:rsidRDefault="004A5D96">
      <w:pPr>
        <w:suppressAutoHyphens/>
        <w:jc w:val="both"/>
        <w:rPr>
          <w:spacing w:val="-2"/>
          <w:sz w:val="20"/>
        </w:rPr>
      </w:pPr>
    </w:p>
    <w:p w14:paraId="3DA45188" w14:textId="77777777" w:rsidR="00000000" w:rsidRDefault="004A5D96">
      <w:pPr>
        <w:suppressAutoHyphens/>
        <w:jc w:val="both"/>
        <w:rPr>
          <w:spacing w:val="-2"/>
          <w:sz w:val="20"/>
        </w:rPr>
      </w:pPr>
      <w:r>
        <w:rPr>
          <w:b/>
          <w:spacing w:val="-2"/>
          <w:sz w:val="20"/>
        </w:rPr>
        <w:t xml:space="preserve">Publicly Owned Treatment Work (POTW) - </w:t>
      </w:r>
      <w:r>
        <w:rPr>
          <w:spacing w:val="-2"/>
          <w:sz w:val="20"/>
        </w:rPr>
        <w:t>A waste treatment works owned by a state, unit of local government, or Indian tribe, usually designed to treat domestic wastewater.</w:t>
      </w:r>
    </w:p>
    <w:p w14:paraId="63D89E5A" w14:textId="77777777" w:rsidR="00000000" w:rsidRDefault="004A5D96">
      <w:pPr>
        <w:suppressAutoHyphens/>
        <w:jc w:val="both"/>
        <w:rPr>
          <w:spacing w:val="-2"/>
          <w:sz w:val="20"/>
        </w:rPr>
      </w:pPr>
    </w:p>
    <w:p w14:paraId="083FDBA2" w14:textId="77777777" w:rsidR="00000000" w:rsidRDefault="004A5D96">
      <w:pPr>
        <w:suppressAutoHyphens/>
        <w:jc w:val="both"/>
        <w:rPr>
          <w:spacing w:val="-2"/>
          <w:sz w:val="20"/>
        </w:rPr>
      </w:pPr>
      <w:r>
        <w:rPr>
          <w:b/>
          <w:spacing w:val="-2"/>
          <w:sz w:val="20"/>
        </w:rPr>
        <w:t xml:space="preserve">Primary Process Operations (PPO) - </w:t>
      </w:r>
      <w:r>
        <w:rPr>
          <w:spacing w:val="-2"/>
          <w:sz w:val="20"/>
        </w:rPr>
        <w:t>Generally, the principal means used at a facility to provide the main product.</w:t>
      </w:r>
    </w:p>
    <w:p w14:paraId="14D98FC6" w14:textId="77777777" w:rsidR="00000000" w:rsidRDefault="004A5D96">
      <w:pPr>
        <w:suppressAutoHyphens/>
        <w:jc w:val="both"/>
        <w:rPr>
          <w:spacing w:val="-2"/>
          <w:sz w:val="20"/>
        </w:rPr>
      </w:pPr>
    </w:p>
    <w:p w14:paraId="796D6210" w14:textId="77777777" w:rsidR="00000000" w:rsidRDefault="004A5D96">
      <w:pPr>
        <w:suppressAutoHyphens/>
        <w:jc w:val="both"/>
        <w:rPr>
          <w:spacing w:val="-2"/>
          <w:sz w:val="20"/>
        </w:rPr>
      </w:pPr>
      <w:r>
        <w:rPr>
          <w:b/>
          <w:spacing w:val="-2"/>
          <w:sz w:val="20"/>
        </w:rPr>
        <w:t xml:space="preserve">psia - </w:t>
      </w:r>
      <w:r>
        <w:rPr>
          <w:spacing w:val="-2"/>
          <w:sz w:val="20"/>
        </w:rPr>
        <w:t>pou</w:t>
      </w:r>
      <w:r>
        <w:rPr>
          <w:spacing w:val="-2"/>
          <w:sz w:val="20"/>
        </w:rPr>
        <w:t>nds per square inch absolute.</w:t>
      </w:r>
    </w:p>
    <w:p w14:paraId="7457F66C" w14:textId="77777777" w:rsidR="00000000" w:rsidRDefault="004A5D96">
      <w:pPr>
        <w:suppressAutoHyphens/>
        <w:jc w:val="both"/>
        <w:rPr>
          <w:spacing w:val="-2"/>
          <w:sz w:val="20"/>
        </w:rPr>
      </w:pPr>
    </w:p>
    <w:p w14:paraId="6D957BC0" w14:textId="77777777" w:rsidR="00000000" w:rsidRDefault="004A5D96">
      <w:pPr>
        <w:suppressAutoHyphens/>
        <w:jc w:val="both"/>
        <w:rPr>
          <w:spacing w:val="-2"/>
          <w:sz w:val="20"/>
        </w:rPr>
      </w:pPr>
      <w:r>
        <w:rPr>
          <w:b/>
          <w:spacing w:val="-2"/>
          <w:sz w:val="20"/>
        </w:rPr>
        <w:t>Responsible Official -</w:t>
      </w:r>
      <w:r>
        <w:rPr>
          <w:spacing w:val="-2"/>
          <w:sz w:val="20"/>
        </w:rPr>
        <w:t xml:space="preserve"> Means one of the following: </w:t>
      </w:r>
    </w:p>
    <w:p w14:paraId="1AB971F5" w14:textId="77777777" w:rsidR="00000000" w:rsidRDefault="004A5D96">
      <w:pPr>
        <w:suppressAutoHyphens/>
        <w:jc w:val="both"/>
        <w:rPr>
          <w:spacing w:val="-2"/>
          <w:sz w:val="20"/>
        </w:rPr>
      </w:pPr>
      <w:r>
        <w:rPr>
          <w:spacing w:val="-2"/>
          <w:sz w:val="20"/>
        </w:rPr>
        <w:t>For a corporation: a president, secretary, treasurer, or vice</w:t>
      </w:r>
      <w:r>
        <w:rPr>
          <w:spacing w:val="-2"/>
          <w:sz w:val="20"/>
        </w:rPr>
        <w:noBreakHyphen/>
        <w:t xml:space="preserve">president of the corporation in charge of a principal business function, or any other person who performs similar policy or decision-making functions for the corporation, or a duly authorized representative of such person if the representative is responsible for the overall operation of one or more manufacturing, production, or operating facilities applying for or </w:t>
      </w:r>
      <w:r>
        <w:rPr>
          <w:spacing w:val="-2"/>
          <w:sz w:val="20"/>
        </w:rPr>
        <w:t>subject to a permit and either:</w:t>
      </w:r>
    </w:p>
    <w:p w14:paraId="57558B8F" w14:textId="77777777" w:rsidR="00000000" w:rsidRDefault="004A5D96">
      <w:pPr>
        <w:suppressAutoHyphens/>
        <w:jc w:val="both"/>
        <w:rPr>
          <w:spacing w:val="-2"/>
          <w:sz w:val="20"/>
        </w:rPr>
      </w:pPr>
    </w:p>
    <w:p w14:paraId="07D7D8B3" w14:textId="77777777" w:rsidR="00000000" w:rsidRDefault="004A5D96">
      <w:pPr>
        <w:suppressAutoHyphens/>
        <w:ind w:left="720" w:hanging="720"/>
        <w:jc w:val="both"/>
        <w:rPr>
          <w:spacing w:val="-2"/>
          <w:sz w:val="20"/>
        </w:rPr>
      </w:pPr>
      <w:r>
        <w:rPr>
          <w:spacing w:val="-2"/>
          <w:sz w:val="20"/>
        </w:rPr>
        <w:t xml:space="preserve">(i) </w:t>
      </w:r>
      <w:r>
        <w:rPr>
          <w:spacing w:val="-2"/>
          <w:sz w:val="20"/>
        </w:rPr>
        <w:tab/>
        <w:t>The facilities employ more than 250 persons or have gross annual sales or expenditures exceeding $25 million (in second quarter 1980 dollars).</w:t>
      </w:r>
    </w:p>
    <w:p w14:paraId="7EA10624" w14:textId="77777777" w:rsidR="00000000" w:rsidRDefault="004A5D96">
      <w:pPr>
        <w:suppressAutoHyphens/>
        <w:jc w:val="both"/>
        <w:rPr>
          <w:spacing w:val="-2"/>
          <w:sz w:val="20"/>
        </w:rPr>
      </w:pPr>
    </w:p>
    <w:p w14:paraId="02759F59" w14:textId="77777777" w:rsidR="00000000" w:rsidRDefault="004A5D96">
      <w:pPr>
        <w:suppressAutoHyphens/>
        <w:ind w:left="720" w:hanging="720"/>
        <w:jc w:val="both"/>
        <w:rPr>
          <w:spacing w:val="-2"/>
          <w:sz w:val="20"/>
        </w:rPr>
      </w:pPr>
      <w:r>
        <w:rPr>
          <w:spacing w:val="-2"/>
          <w:sz w:val="20"/>
        </w:rPr>
        <w:t xml:space="preserve">(ii) </w:t>
      </w:r>
      <w:r>
        <w:rPr>
          <w:spacing w:val="-2"/>
          <w:sz w:val="20"/>
        </w:rPr>
        <w:tab/>
        <w:t>The delegation of authority to such representatives is approved in advance by the permitting authority.</w:t>
      </w:r>
    </w:p>
    <w:p w14:paraId="756ECE01" w14:textId="77777777" w:rsidR="00000000" w:rsidRDefault="004A5D96">
      <w:pPr>
        <w:suppressAutoHyphens/>
        <w:jc w:val="both"/>
        <w:rPr>
          <w:spacing w:val="-2"/>
          <w:sz w:val="20"/>
        </w:rPr>
      </w:pPr>
    </w:p>
    <w:p w14:paraId="36E1F0CE" w14:textId="77777777" w:rsidR="00000000" w:rsidRDefault="004A5D96">
      <w:pPr>
        <w:suppressAutoHyphens/>
        <w:jc w:val="both"/>
        <w:rPr>
          <w:spacing w:val="-2"/>
          <w:sz w:val="20"/>
        </w:rPr>
      </w:pPr>
      <w:r>
        <w:rPr>
          <w:b/>
          <w:spacing w:val="-2"/>
          <w:sz w:val="20"/>
        </w:rPr>
        <w:t xml:space="preserve">Standard Industrial Classification (SIC) Code - </w:t>
      </w:r>
      <w:r>
        <w:rPr>
          <w:spacing w:val="-2"/>
          <w:sz w:val="20"/>
        </w:rPr>
        <w:t>A four digit code created by the Office Of Management And Budget to classify an establishment by the type of activity in which it is engaged  The Primary SIC refers to the</w:t>
      </w:r>
      <w:r>
        <w:rPr>
          <w:spacing w:val="-2"/>
          <w:sz w:val="20"/>
        </w:rPr>
        <w:t xml:space="preserve"> major or overall activity while the secondary SIC refers to subordinate or peripheral activities.</w:t>
      </w:r>
    </w:p>
    <w:p w14:paraId="14DFE3BC" w14:textId="77777777" w:rsidR="00000000" w:rsidRDefault="004A5D96">
      <w:pPr>
        <w:suppressAutoHyphens/>
        <w:jc w:val="both"/>
        <w:rPr>
          <w:b/>
          <w:spacing w:val="-2"/>
          <w:sz w:val="20"/>
        </w:rPr>
      </w:pPr>
    </w:p>
    <w:p w14:paraId="6C304F0D" w14:textId="77777777" w:rsidR="00000000" w:rsidRDefault="004A5D96">
      <w:pPr>
        <w:suppressAutoHyphens/>
        <w:jc w:val="both"/>
        <w:rPr>
          <w:spacing w:val="-2"/>
          <w:sz w:val="20"/>
        </w:rPr>
      </w:pPr>
      <w:r>
        <w:rPr>
          <w:b/>
          <w:spacing w:val="-2"/>
          <w:sz w:val="20"/>
        </w:rPr>
        <w:t>State Implementation Plan (SIP) -</w:t>
      </w:r>
      <w:r>
        <w:rPr>
          <w:spacing w:val="-2"/>
          <w:sz w:val="20"/>
        </w:rPr>
        <w:t xml:space="preserve">  Portions of state regulations which have been approved by the U.S. EPA and are therefore federally enforceable.</w:t>
      </w:r>
    </w:p>
    <w:p w14:paraId="1455A8ED" w14:textId="77777777" w:rsidR="00000000" w:rsidRDefault="004A5D96">
      <w:pPr>
        <w:suppressAutoHyphens/>
        <w:jc w:val="both"/>
        <w:rPr>
          <w:spacing w:val="-2"/>
          <w:sz w:val="20"/>
        </w:rPr>
      </w:pPr>
    </w:p>
    <w:p w14:paraId="353E41AC" w14:textId="77777777" w:rsidR="00000000" w:rsidRDefault="004A5D96">
      <w:pPr>
        <w:suppressAutoHyphens/>
        <w:jc w:val="both"/>
        <w:rPr>
          <w:spacing w:val="-2"/>
          <w:sz w:val="20"/>
        </w:rPr>
      </w:pPr>
      <w:r>
        <w:rPr>
          <w:b/>
          <w:spacing w:val="-2"/>
          <w:sz w:val="20"/>
        </w:rPr>
        <w:t>State Only Requirements -</w:t>
      </w:r>
      <w:r>
        <w:rPr>
          <w:spacing w:val="-2"/>
          <w:sz w:val="20"/>
        </w:rPr>
        <w:t xml:space="preserve"> Requirements under State law which are in addition to those required under federal law, and are identified as such in the permit.</w:t>
      </w:r>
    </w:p>
    <w:p w14:paraId="306A3874" w14:textId="77777777" w:rsidR="00000000" w:rsidRDefault="004A5D96">
      <w:pPr>
        <w:suppressAutoHyphens/>
        <w:jc w:val="both"/>
        <w:rPr>
          <w:spacing w:val="-2"/>
          <w:sz w:val="20"/>
        </w:rPr>
      </w:pPr>
    </w:p>
    <w:p w14:paraId="7604933A" w14:textId="77777777" w:rsidR="00000000" w:rsidRDefault="004A5D96">
      <w:pPr>
        <w:suppressAutoHyphens/>
        <w:jc w:val="both"/>
        <w:rPr>
          <w:spacing w:val="-2"/>
          <w:sz w:val="20"/>
        </w:rPr>
      </w:pPr>
      <w:r>
        <w:rPr>
          <w:b/>
          <w:spacing w:val="-2"/>
          <w:sz w:val="20"/>
        </w:rPr>
        <w:t xml:space="preserve">Trivial Activity - </w:t>
      </w:r>
      <w:r>
        <w:rPr>
          <w:spacing w:val="-2"/>
          <w:sz w:val="20"/>
        </w:rPr>
        <w:t xml:space="preserve"> Those listed activities whose emissions are so small that the activities do not need to</w:t>
      </w:r>
      <w:r>
        <w:rPr>
          <w:spacing w:val="-2"/>
          <w:sz w:val="20"/>
        </w:rPr>
        <w:t xml:space="preserve"> be mentioned in the application.</w:t>
      </w:r>
    </w:p>
    <w:p w14:paraId="28911727" w14:textId="77777777" w:rsidR="00000000" w:rsidRDefault="004A5D96">
      <w:pPr>
        <w:suppressAutoHyphens/>
        <w:jc w:val="both"/>
        <w:rPr>
          <w:b/>
          <w:spacing w:val="-2"/>
          <w:sz w:val="20"/>
        </w:rPr>
      </w:pPr>
    </w:p>
    <w:p w14:paraId="6131E90A" w14:textId="77777777" w:rsidR="00000000" w:rsidRDefault="004A5D96">
      <w:pPr>
        <w:suppressAutoHyphens/>
        <w:jc w:val="both"/>
        <w:rPr>
          <w:spacing w:val="-2"/>
          <w:sz w:val="20"/>
        </w:rPr>
      </w:pPr>
      <w:r>
        <w:rPr>
          <w:b/>
          <w:spacing w:val="-2"/>
          <w:sz w:val="20"/>
        </w:rPr>
        <w:t xml:space="preserve">Turn-Around Document (TAD) - </w:t>
      </w:r>
      <w:r>
        <w:rPr>
          <w:spacing w:val="-2"/>
          <w:sz w:val="20"/>
        </w:rPr>
        <w:t xml:space="preserve">A document used by both the AQD staff and the owner/operator of a source to determine the annual emissions from the source. </w:t>
      </w:r>
    </w:p>
    <w:p w14:paraId="52C61579" w14:textId="77777777" w:rsidR="00000000" w:rsidRDefault="004A5D96">
      <w:pPr>
        <w:suppressAutoHyphens/>
        <w:jc w:val="both"/>
        <w:rPr>
          <w:spacing w:val="-2"/>
          <w:sz w:val="20"/>
        </w:rPr>
      </w:pPr>
    </w:p>
    <w:p w14:paraId="1432B1EE" w14:textId="77777777" w:rsidR="00000000" w:rsidRDefault="004A5D96">
      <w:pPr>
        <w:suppressAutoHyphens/>
        <w:jc w:val="both"/>
        <w:rPr>
          <w:spacing w:val="-2"/>
          <w:sz w:val="20"/>
        </w:rPr>
      </w:pPr>
      <w:r>
        <w:rPr>
          <w:b/>
          <w:spacing w:val="-2"/>
          <w:sz w:val="20"/>
        </w:rPr>
        <w:t xml:space="preserve">Vapor Pressure - </w:t>
      </w:r>
      <w:r>
        <w:rPr>
          <w:spacing w:val="-2"/>
          <w:sz w:val="20"/>
        </w:rPr>
        <w:t>The pressure exerted by a pure component vapor in equilibrium with a flat surface of its pure component liquid at a certain temperature.</w:t>
      </w:r>
    </w:p>
    <w:p w14:paraId="77E0AB4F" w14:textId="77777777" w:rsidR="00000000" w:rsidRDefault="004A5D96">
      <w:pPr>
        <w:suppressAutoHyphens/>
        <w:jc w:val="both"/>
        <w:rPr>
          <w:b/>
          <w:spacing w:val="-2"/>
          <w:sz w:val="20"/>
        </w:rPr>
      </w:pPr>
    </w:p>
    <w:p w14:paraId="0118EA38" w14:textId="77777777" w:rsidR="00000000" w:rsidRDefault="004A5D96">
      <w:pPr>
        <w:suppressAutoHyphens/>
        <w:jc w:val="both"/>
        <w:rPr>
          <w:spacing w:val="-2"/>
          <w:sz w:val="20"/>
        </w:rPr>
      </w:pPr>
      <w:r>
        <w:rPr>
          <w:b/>
          <w:spacing w:val="-2"/>
          <w:sz w:val="20"/>
        </w:rPr>
        <w:t xml:space="preserve">Volatile Organic Compound (VOC) - </w:t>
      </w:r>
      <w:r>
        <w:rPr>
          <w:spacing w:val="-2"/>
          <w:sz w:val="20"/>
        </w:rPr>
        <w:t>Generally means any compound containing carbon and hydrogen or containing carbon and hydrogen in combination with any other element w</w:t>
      </w:r>
      <w:r>
        <w:rPr>
          <w:spacing w:val="-2"/>
          <w:sz w:val="20"/>
        </w:rPr>
        <w:t>hich has a vapor pressure of 1.5 pounds per square inch absolute or greater under actual storage condition.</w:t>
      </w:r>
    </w:p>
    <w:p w14:paraId="33DE04D7" w14:textId="77777777" w:rsidR="00000000" w:rsidRDefault="004A5D96">
      <w:pPr>
        <w:suppressAutoHyphens/>
        <w:jc w:val="both"/>
        <w:rPr>
          <w:spacing w:val="-2"/>
          <w:sz w:val="20"/>
        </w:rPr>
      </w:pPr>
    </w:p>
    <w:p w14:paraId="676C832C" w14:textId="77777777" w:rsidR="00000000" w:rsidRDefault="004A5D96">
      <w:pPr>
        <w:suppressAutoHyphens/>
        <w:jc w:val="both"/>
        <w:rPr>
          <w:spacing w:val="-2"/>
          <w:sz w:val="20"/>
        </w:rPr>
      </w:pPr>
      <w:r>
        <w:rPr>
          <w:b/>
          <w:spacing w:val="-2"/>
          <w:sz w:val="20"/>
        </w:rPr>
        <w:t xml:space="preserve">Volatile Organic Solvent (VOS) - </w:t>
      </w:r>
      <w:r>
        <w:rPr>
          <w:spacing w:val="-2"/>
          <w:sz w:val="20"/>
        </w:rPr>
        <w:t>means any organic compound which participates in atmospheric photochemical reactions; that is, any organic compound other than those which the EPA Administrator designates as having negligible photochemical reactivity.</w:t>
      </w:r>
    </w:p>
    <w:sectPr w:rsidR="00000000">
      <w:endnotePr>
        <w:numFmt w:val="decimal"/>
      </w:endnotePr>
      <w:pgSz w:w="12240" w:h="15840"/>
      <w:pgMar w:top="720" w:right="720" w:bottom="72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C80FE" w14:textId="77777777" w:rsidR="00000000" w:rsidRDefault="004A5D96">
      <w:pPr>
        <w:spacing w:line="20" w:lineRule="exact"/>
      </w:pPr>
    </w:p>
  </w:endnote>
  <w:endnote w:type="continuationSeparator" w:id="0">
    <w:p w14:paraId="63748ADF" w14:textId="77777777" w:rsidR="00000000" w:rsidRDefault="004A5D96">
      <w:r>
        <w:t xml:space="preserve"> </w:t>
      </w:r>
    </w:p>
  </w:endnote>
  <w:endnote w:type="continuationNotice" w:id="1">
    <w:p w14:paraId="7308A1BD" w14:textId="77777777" w:rsidR="00000000" w:rsidRDefault="004A5D9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7501C" w14:textId="77777777" w:rsidR="00000000" w:rsidRDefault="004A5D96">
      <w:r>
        <w:separator/>
      </w:r>
    </w:p>
  </w:footnote>
  <w:footnote w:type="continuationSeparator" w:id="0">
    <w:p w14:paraId="1D3832B0" w14:textId="77777777" w:rsidR="00000000" w:rsidRDefault="004A5D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oNotTrackMoves/>
  <w:documentProtection w:edit="trackedChanges" w:enforcement="1"/>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noTabHangInd/>
    <w:spaceForUL/>
    <w:noColumnBalance/>
    <w:balanceSingleByteDoubleByteWidth/>
    <w:doNotLeaveBackslashAlone/>
    <w:ulTrailSpace/>
    <w:doNotExpandShiftReturn/>
    <w:usePrinterMetrics/>
    <w:doNotSuppressParagraphBorders/>
    <w:wrapTrailSpace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A5D96"/>
    <w:rsid w:val="004A5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BCCAF7"/>
  <w15:chartTrackingRefBased/>
  <w15:docId w15:val="{2DA467C0-D36E-4A8E-AECF-AA622B442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pPr>
      <w:tabs>
        <w:tab w:val="left" w:pos="0"/>
      </w:tabs>
      <w:suppressAutoHyphens/>
    </w:pPr>
    <w:rPr>
      <w:rFonts w:ascii="Courier New" w:hAnsi="Courier New"/>
    </w:rPr>
  </w:style>
  <w:style w:type="character" w:styleId="EndnoteReference">
    <w:name w:val="endnote reference"/>
    <w:basedOn w:val="DefaultParagraphFont"/>
    <w:semiHidden/>
    <w:rPr>
      <w:rFonts w:ascii="Courier New" w:hAnsi="Courier New"/>
      <w:noProof w:val="0"/>
      <w:sz w:val="24"/>
      <w:vertAlign w:val="superscript"/>
      <w:lang w:val="en-US"/>
    </w:rPr>
  </w:style>
  <w:style w:type="paragraph" w:styleId="FootnoteText">
    <w:name w:val="footnote text"/>
    <w:basedOn w:val="Normal"/>
    <w:semiHidden/>
    <w:pPr>
      <w:tabs>
        <w:tab w:val="left" w:pos="0"/>
      </w:tabs>
      <w:suppressAutoHyphens/>
    </w:pPr>
    <w:rPr>
      <w:rFonts w:ascii="Courier New" w:hAnsi="Courier New"/>
    </w:rPr>
  </w:style>
  <w:style w:type="character" w:styleId="FootnoteReference">
    <w:name w:val="footnote reference"/>
    <w:basedOn w:val="DefaultParagraphFont"/>
    <w:semiHidden/>
    <w:rPr>
      <w:rFonts w:ascii="Courier New" w:hAnsi="Courier New"/>
      <w:noProof w:val="0"/>
      <w:sz w:val="24"/>
      <w:vertAlign w:val="superscript"/>
      <w:lang w:val="en-US"/>
    </w:rPr>
  </w:style>
  <w:style w:type="character" w:customStyle="1" w:styleId="DefaultParagraphFo">
    <w:name w:val="Default Paragraph Fo"/>
    <w:basedOn w:val="DefaultParagraphFont"/>
  </w:style>
  <w:style w:type="paragraph" w:customStyle="1" w:styleId="DefaultPara">
    <w:name w:val="Default Para"/>
    <w:pPr>
      <w:tabs>
        <w:tab w:val="left" w:pos="0"/>
      </w:tabs>
      <w:suppressAutoHyphens/>
      <w:overflowPunct w:val="0"/>
      <w:autoSpaceDE w:val="0"/>
      <w:autoSpaceDN w:val="0"/>
      <w:adjustRightInd w:val="0"/>
      <w:textAlignment w:val="baseline"/>
    </w:pPr>
    <w:rPr>
      <w:rFonts w:ascii="Times" w:hAnsi="Times"/>
    </w:rPr>
  </w:style>
  <w:style w:type="character" w:customStyle="1" w:styleId="EndnoteRefe">
    <w:name w:val="Endnote Refe"/>
    <w:basedOn w:val="DefaultParagraphFont"/>
    <w:rPr>
      <w:rFonts w:ascii="CG Times" w:hAnsi="CG Times"/>
      <w:noProof w:val="0"/>
      <w:sz w:val="24"/>
      <w:vertAlign w:val="superscript"/>
      <w:lang w:val="en-US"/>
    </w:rPr>
  </w:style>
  <w:style w:type="character" w:customStyle="1" w:styleId="FootnoteRef">
    <w:name w:val="Footnote Ref"/>
    <w:basedOn w:val="DefaultParagraphFont"/>
    <w:rPr>
      <w:rFonts w:ascii="CG Times" w:hAnsi="CG Times"/>
      <w:noProof w:val="0"/>
      <w:sz w:val="24"/>
      <w:vertAlign w:val="superscript"/>
      <w:lang w:val="en-US"/>
    </w:rPr>
  </w:style>
  <w:style w:type="character" w:customStyle="1" w:styleId="a1">
    <w:name w:val="a1"/>
    <w:basedOn w:val="DefaultParagraphFont"/>
  </w:style>
  <w:style w:type="character" w:customStyle="1" w:styleId="EquationCa">
    <w:name w:val="_Equation Ca"/>
    <w:basedOn w:val="DefaultParagraphFont"/>
  </w:style>
  <w:style w:type="character" w:customStyle="1" w:styleId="a2">
    <w:name w:val="a2"/>
    <w:basedOn w:val="DefaultParagraphFont"/>
  </w:style>
  <w:style w:type="paragraph" w:customStyle="1" w:styleId="FootnoteTex">
    <w:name w:val="Footnote Tex"/>
    <w:pPr>
      <w:tabs>
        <w:tab w:val="left" w:pos="0"/>
        <w:tab w:val="left" w:pos="342"/>
        <w:tab w:val="left" w:pos="1062"/>
        <w:tab w:val="left" w:pos="1782"/>
        <w:tab w:val="left" w:pos="2502"/>
        <w:tab w:val="left" w:pos="3222"/>
        <w:tab w:val="left" w:pos="3942"/>
        <w:tab w:val="left" w:pos="4662"/>
        <w:tab w:val="left" w:pos="5382"/>
        <w:tab w:val="left" w:pos="6102"/>
        <w:tab w:val="left" w:pos="6822"/>
        <w:tab w:val="left" w:pos="7542"/>
        <w:tab w:val="left" w:pos="8262"/>
        <w:tab w:val="left" w:pos="8982"/>
        <w:tab w:val="left" w:pos="9360"/>
      </w:tabs>
      <w:suppressAutoHyphens/>
      <w:overflowPunct w:val="0"/>
      <w:autoSpaceDE w:val="0"/>
      <w:autoSpaceDN w:val="0"/>
      <w:adjustRightInd w:val="0"/>
      <w:textAlignment w:val="baseline"/>
    </w:pPr>
    <w:rPr>
      <w:rFonts w:ascii="CG Times" w:hAnsi="CG Times"/>
      <w:sz w:val="24"/>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basedOn w:val="DefaultParagraphFont"/>
  </w:style>
  <w:style w:type="character" w:customStyle="1" w:styleId="EquationCaption1">
    <w:name w:val="_Equation Caption1"/>
    <w:basedOn w:val="DefaultParagraphFont"/>
  </w:style>
  <w:style w:type="character" w:customStyle="1" w:styleId="a1a">
    <w:name w:val="a1a"/>
    <w:basedOn w:val="DefaultParagraphFont"/>
    <w:rPr>
      <w:rFonts w:ascii="Times" w:hAnsi="Times"/>
      <w:noProof w:val="0"/>
      <w:sz w:val="20"/>
      <w:lang w:val="en-US"/>
    </w:rPr>
  </w:style>
  <w:style w:type="character" w:customStyle="1" w:styleId="a2a">
    <w:name w:val="a2a"/>
    <w:basedOn w:val="DefaultParagraphFont"/>
    <w:rPr>
      <w:rFonts w:ascii="Times" w:hAnsi="Times"/>
      <w:noProof w:val="0"/>
      <w:sz w:val="20"/>
      <w:lang w:val="en-US"/>
    </w:rPr>
  </w:style>
  <w:style w:type="character" w:customStyle="1" w:styleId="EquationCaption2">
    <w:name w:val="_Equation Caption2"/>
  </w:style>
  <w:style w:type="paragraph" w:styleId="Revision">
    <w:name w:val="Revision"/>
    <w:hidden/>
    <w:uiPriority w:val="99"/>
    <w:semiHidden/>
    <w:rsid w:val="004A5D9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932</Words>
  <Characters>5317</Characters>
  <Application>Microsoft Office Word</Application>
  <DocSecurity>4</DocSecurity>
  <Lines>44</Lines>
  <Paragraphs>12</Paragraphs>
  <ScaleCrop>false</ScaleCrop>
  <Company>Dept of Environmental Quality</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Owner/Operator</dc:title>
  <dc:subject/>
  <dc:creator>Shawn Hussong</dc:creator>
  <cp:keywords/>
  <dc:description/>
  <cp:lastModifiedBy>Lee Warden</cp:lastModifiedBy>
  <cp:revision>2</cp:revision>
  <cp:lastPrinted>1996-04-16T03:47:00Z</cp:lastPrinted>
  <dcterms:created xsi:type="dcterms:W3CDTF">2023-03-08T22:23:00Z</dcterms:created>
  <dcterms:modified xsi:type="dcterms:W3CDTF">2023-03-08T22:23:00Z</dcterms:modified>
</cp:coreProperties>
</file>